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bCs/>
          <w:color w:val="FF0000"/>
          <w:spacing w:val="10"/>
          <w:sz w:val="74"/>
          <w:szCs w:val="72"/>
        </w:rPr>
      </w:pPr>
    </w:p>
    <w:p>
      <w:pPr>
        <w:rPr>
          <w:rFonts w:ascii="宋体"/>
          <w:b/>
          <w:bCs/>
          <w:color w:val="FF0000"/>
          <w:spacing w:val="10"/>
          <w:sz w:val="74"/>
          <w:szCs w:val="72"/>
        </w:rPr>
      </w:pPr>
    </w:p>
    <w:p>
      <w:pPr>
        <w:jc w:val="center"/>
        <w:rPr>
          <w:rFonts w:ascii="宋体"/>
          <w:b/>
          <w:bCs/>
          <w:color w:val="FF0000"/>
          <w:spacing w:val="10"/>
          <w:sz w:val="74"/>
          <w:szCs w:val="72"/>
        </w:rPr>
      </w:pPr>
      <w:r>
        <w:rPr>
          <w:rFonts w:hint="eastAsia" w:ascii="宋体" w:hAnsi="宋体"/>
          <w:b/>
          <w:bCs/>
          <w:color w:val="FF0000"/>
          <w:spacing w:val="10"/>
          <w:sz w:val="74"/>
          <w:szCs w:val="72"/>
        </w:rPr>
        <w:t>北京邮电大学世纪学院</w:t>
      </w:r>
    </w:p>
    <w:p>
      <w:pPr>
        <w:jc w:val="center"/>
        <w:rPr>
          <w:rFonts w:ascii="宋体"/>
          <w:b/>
          <w:bCs/>
          <w:color w:val="FF0000"/>
          <w:spacing w:val="10"/>
          <w:sz w:val="74"/>
          <w:szCs w:val="72"/>
        </w:rPr>
      </w:pPr>
      <w:r>
        <w:rPr>
          <w:rFonts w:hint="eastAsia" w:ascii="仿宋" w:hAnsi="仿宋" w:eastAsia="仿宋"/>
          <w:sz w:val="30"/>
          <w:szCs w:val="30"/>
        </w:rPr>
        <w:t>院发〔</w:t>
      </w:r>
      <w:r>
        <w:rPr>
          <w:rFonts w:ascii="仿宋" w:hAnsi="仿宋" w:eastAsia="仿宋"/>
          <w:sz w:val="30"/>
          <w:szCs w:val="30"/>
        </w:rPr>
        <w:t>202</w:t>
      </w:r>
      <w:r>
        <w:rPr>
          <w:rFonts w:hint="eastAsia" w:ascii="仿宋" w:hAnsi="仿宋" w:eastAsia="仿宋"/>
          <w:sz w:val="30"/>
          <w:szCs w:val="30"/>
          <w:lang w:val="en-US" w:eastAsia="zh-CN"/>
        </w:rPr>
        <w:t>2</w:t>
      </w: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号</w:t>
      </w:r>
    </w:p>
    <w:p>
      <w:pPr>
        <w:tabs>
          <w:tab w:val="left" w:pos="5940"/>
          <w:tab w:val="right" w:pos="8306"/>
        </w:tabs>
        <w:rPr>
          <w:rFonts w:ascii="仿宋_GB2312" w:hAnsi="宋体" w:eastAsia="仿宋_GB2312"/>
          <w:color w:val="FF0000"/>
          <w:sz w:val="30"/>
          <w:szCs w:val="30"/>
        </w:rPr>
      </w:pPr>
      <w:r>
        <w:pict>
          <v:line id="_x0000_s1028" o:spid="_x0000_s1028" o:spt="20" style="position:absolute;left:0pt;margin-left:4.35pt;margin-top:21.6pt;height:0pt;width:414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tjEwIAACkEAAAOAAAAZHJzL2Uyb0RvYy54bWysU9uO2yAQfa/Uf0C8J77UyWatOKvKjvuy&#10;7Uba7QcQwDEqBgQkTlT13zuQi3a3L1VVP+CBmTmcmTMsH46DRAdundCqwtk0xYgrqplQuwp/f2kn&#10;C4ycJ4oRqRWv8Ik7/LD6+GE5mpLnuteScYsARLlyNBXuvTdlkjja84G4qTZcgbPTdiAetnaXMEtG&#10;QB9kkqfpPBm1ZcZqyp2D0+bsxKuI33Wc+qeuc9wjWWHg5uNq47oNa7JaknJniekFvdAg/8BiIELB&#10;pTeohniC9lb8ATUIarXTnZ9SPSS66wTlsQaoJkvfVfPcE8NjLdAcZ25tcv8Pln47bCwSDLTDSJEB&#10;JHoUiqM8dGY0roSAWm1sqI0e1bN51PSHQ0rXPVE7Hhm+nAykZSEjeZMSNs4A/nb8qhnEkL3XsU3H&#10;zg4BEhqAjlGN000NfvSIwuEsn90tUhCNXn0JKa+Jxjr/hesBBaPCEjhHYHJ4dD4QIeU1JNyjdCuk&#10;jGJLhcYK57MCoIPLaSlY8MaN3W1radGBwLy0bQpfLOtdmNV7xSJazwlbX2xPhDzbcLtUAQ9qAT4X&#10;6zwQP+/T+/VivSgmRT5fT4q0aSaf27qYzNvsbtZ8auq6yX4FallR9oIxrgK763Bmxd+Jf3km57G6&#10;jeetD8lb9NgwIHv9R9JRzKDfeRK2mp029ioyzGMMvrydMPCv92C/fuGr3wAAAP//AwBQSwMEFAAG&#10;AAgAAAAhAK27+GHdAAAACQEAAA8AAABkcnMvZG93bnJldi54bWxMj8FOwzAQRO9I/IO1SNxax60a&#10;VSFOhUAgwY2Wgri58SaOiNdR7Lbh71nEAY47O5p5U24m34sTjrELpEHNMxBIdbAdtRpedw+zNYiY&#10;DFnTB0INXxhhU11elKaw4UwveNqmVnAIxcJocCkNhZSxduhNnIcBiX9NGL1JfI6ttKM5c7jv5SLL&#10;culNR9zgzIB3DuvP7dFreHrDvd1/PN+vQm9V8/6Yx8blWl9fTbc3IBJO6c8MP/iMDhUzHcKRbBS9&#10;hpla8ZakYakWINiwVksWDr+CrEr5f0H1DQAA//8DAFBLAQItABQABgAIAAAAIQC2gziS/gAAAOEB&#10;AAATAAAAAAAAAAAAAAAAAAAAAABbQ29udGVudF9UeXBlc10ueG1sUEsBAi0AFAAGAAgAAAAhADj9&#10;If/WAAAAlAEAAAsAAAAAAAAAAAAAAAAALwEAAF9yZWxzLy5yZWxzUEsBAi0AFAAGAAgAAAAhAId4&#10;i2MTAgAAKQQAAA4AAAAAAAAAAAAAAAAALgIAAGRycy9lMm9Eb2MueG1sUEsBAi0AFAAGAAgAAAAh&#10;AK27+GHdAAAACQEAAA8AAAAAAAAAAAAAAAAAbQQAAGRycy9kb3ducmV2LnhtbFBLBQYAAAAABAAE&#10;APMAAAB3BQAAAAA=&#10;">
            <v:path arrowok="t"/>
            <v:fill focussize="0,0"/>
            <v:stroke weight="2pt" color="#FF0000"/>
            <v:imagedata o:title=""/>
            <o:lock v:ext="edit"/>
          </v:line>
        </w:pict>
      </w:r>
      <w:r>
        <w:pict>
          <v:line id="Line 2" o:spid="_x0000_s1029" o:spt="20" style="position:absolute;left:0pt;margin-top:15.6pt;height:0pt;width:441pt;mso-position-horizontal:center;z-index:251659264;mso-width-relative:page;mso-height-relative:page;" stroked="t" coordsize="21600,21600">
            <v:path arrowok="t"/>
            <v:fill focussize="0,0"/>
            <v:stroke weight="2pt" color="#FFFFFF"/>
            <v:imagedata o:title=""/>
            <o:lock v:ext="edit"/>
          </v:line>
        </w:pict>
      </w:r>
      <w:r>
        <w:rPr>
          <w:rFonts w:ascii="仿宋_GB2312" w:hAnsi="宋体" w:eastAsia="仿宋_GB2312"/>
          <w:color w:val="FF0000"/>
          <w:sz w:val="30"/>
          <w:szCs w:val="30"/>
        </w:rPr>
        <w:tab/>
      </w:r>
      <w:r>
        <w:rPr>
          <w:rFonts w:ascii="仿宋_GB2312" w:hAnsi="宋体" w:eastAsia="仿宋_GB2312"/>
          <w:color w:val="FF0000"/>
          <w:sz w:val="30"/>
          <w:szCs w:val="30"/>
        </w:rPr>
        <w:tab/>
      </w:r>
    </w:p>
    <w:p>
      <w:pPr>
        <w:pStyle w:val="5"/>
        <w:spacing w:before="0" w:after="0" w:line="360" w:lineRule="auto"/>
        <w:jc w:val="center"/>
        <w:rPr>
          <w:rFonts w:hint="eastAsia"/>
          <w:sz w:val="36"/>
          <w:szCs w:val="36"/>
        </w:rPr>
      </w:pPr>
      <w:bookmarkStart w:id="0" w:name="_GoBack"/>
      <w:r>
        <w:rPr>
          <w:rFonts w:hint="eastAsia"/>
          <w:sz w:val="36"/>
          <w:szCs w:val="36"/>
        </w:rPr>
        <w:t>关于印发《北京邮电大学世纪学院人才培养质量提升</w:t>
      </w:r>
    </w:p>
    <w:p>
      <w:pPr>
        <w:pStyle w:val="5"/>
        <w:spacing w:before="0" w:after="0" w:line="360" w:lineRule="auto"/>
        <w:jc w:val="center"/>
        <w:rPr>
          <w:sz w:val="36"/>
          <w:szCs w:val="36"/>
        </w:rPr>
      </w:pPr>
      <w:r>
        <w:rPr>
          <w:rFonts w:hint="eastAsia"/>
          <w:sz w:val="36"/>
          <w:szCs w:val="36"/>
        </w:rPr>
        <w:t>实施方案》的通知</w:t>
      </w:r>
    </w:p>
    <w:bookmarkEnd w:id="0"/>
    <w:p>
      <w:pPr>
        <w:rPr>
          <w:rFonts w:hint="eastAsia" w:ascii="宋体" w:hAnsi="宋体" w:eastAsia="宋体"/>
          <w:sz w:val="24"/>
          <w:szCs w:val="24"/>
        </w:rPr>
      </w:pPr>
    </w:p>
    <w:p>
      <w:pPr>
        <w:rPr>
          <w:rFonts w:hint="eastAsia" w:ascii="仿宋" w:hAnsi="仿宋" w:eastAsia="仿宋" w:cs="仿宋"/>
          <w:b/>
          <w:bCs/>
          <w:sz w:val="30"/>
          <w:szCs w:val="30"/>
        </w:rPr>
      </w:pPr>
      <w:r>
        <w:rPr>
          <w:rFonts w:hint="eastAsia" w:ascii="仿宋" w:hAnsi="仿宋" w:eastAsia="仿宋" w:cs="仿宋"/>
          <w:b/>
          <w:bCs/>
          <w:sz w:val="30"/>
          <w:szCs w:val="30"/>
        </w:rPr>
        <w:t>院内各单位：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《北京邮电大学世纪学院人才培养质量提升实施方案》经2022年3月30日第4次院务会（党政联席会）会议讨论通过，现印发。请各单位组织学习，遵照执行。</w:t>
      </w:r>
    </w:p>
    <w:p>
      <w:pPr>
        <w:pStyle w:val="5"/>
        <w:spacing w:before="0" w:after="0" w:line="360" w:lineRule="auto"/>
        <w:ind w:firstLine="600" w:firstLineChars="200"/>
        <w:jc w:val="left"/>
        <w:rPr>
          <w:rFonts w:hint="eastAsia" w:ascii="仿宋" w:hAnsi="仿宋" w:eastAsia="仿宋" w:cs="仿宋"/>
          <w:b w:val="0"/>
          <w:sz w:val="30"/>
          <w:szCs w:val="30"/>
        </w:rPr>
      </w:pPr>
      <w:r>
        <w:rPr>
          <w:rFonts w:hint="eastAsia" w:ascii="仿宋" w:hAnsi="仿宋" w:eastAsia="仿宋" w:cs="仿宋"/>
          <w:b w:val="0"/>
          <w:sz w:val="30"/>
          <w:szCs w:val="30"/>
        </w:rPr>
        <w:t>特此通知。</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附件：《北京邮电大学世纪学院人才培养质量提升实施方案》</w:t>
      </w:r>
    </w:p>
    <w:p>
      <w:pPr>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20" w:lineRule="exact"/>
        <w:ind w:left="930" w:leftChars="300" w:hanging="300" w:hangingChars="100"/>
        <w:jc w:val="righ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20" w:lineRule="exact"/>
        <w:ind w:left="930" w:leftChars="300" w:hanging="300" w:hangingChars="100"/>
        <w:jc w:val="right"/>
        <w:textAlignment w:val="auto"/>
        <w:rPr>
          <w:rFonts w:hint="eastAsia" w:ascii="仿宋" w:hAnsi="仿宋" w:eastAsia="仿宋" w:cs="仿宋"/>
          <w:sz w:val="30"/>
          <w:szCs w:val="30"/>
        </w:rPr>
      </w:pPr>
      <w:r>
        <w:rPr>
          <w:rFonts w:hint="eastAsia" w:ascii="仿宋" w:hAnsi="仿宋" w:eastAsia="仿宋" w:cs="仿宋"/>
          <w:sz w:val="30"/>
          <w:szCs w:val="30"/>
        </w:rPr>
        <w:t>2022年4月11日</w:t>
      </w: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5"/>
        <w:spacing w:before="0" w:after="0" w:line="360" w:lineRule="auto"/>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w:t>
      </w:r>
    </w:p>
    <w:p>
      <w:pPr>
        <w:pStyle w:val="5"/>
        <w:pageBreakBefore w:val="0"/>
        <w:widowControl w:val="0"/>
        <w:kinsoku/>
        <w:wordWrap/>
        <w:overflowPunct/>
        <w:topLinePunct w:val="0"/>
        <w:autoSpaceDE/>
        <w:autoSpaceDN/>
        <w:bidi w:val="0"/>
        <w:adjustRightInd/>
        <w:spacing w:before="0" w:after="0" w:line="560" w:lineRule="exact"/>
        <w:jc w:val="center"/>
        <w:textAlignment w:val="auto"/>
      </w:pPr>
      <w:r>
        <w:rPr>
          <w:rFonts w:hint="eastAsia"/>
        </w:rPr>
        <w:t>北京邮电大学世纪学院人才培养质量提升实施方案</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为深入贯彻《北京市“十四五”时期教育改革和发展规划（</w:t>
      </w:r>
      <w:r>
        <w:rPr>
          <w:rFonts w:ascii="宋体" w:hAnsi="宋体" w:eastAsia="宋体"/>
          <w:sz w:val="24"/>
          <w:szCs w:val="24"/>
        </w:rPr>
        <w:t>2021-2025年）》《北京高等教育本科人才培养质量提升行动计划(2022-2024年)》文件精神，落实立德树人根本任务，提高人才培养能力和培养质量，特制定本实施方案。</w:t>
      </w:r>
    </w:p>
    <w:p>
      <w:pPr>
        <w:pStyle w:val="28"/>
        <w:pageBreakBefore w:val="0"/>
        <w:widowControl w:val="0"/>
        <w:numPr>
          <w:ilvl w:val="0"/>
          <w:numId w:val="1"/>
        </w:numPr>
        <w:kinsoku/>
        <w:wordWrap/>
        <w:overflowPunct/>
        <w:topLinePunct w:val="0"/>
        <w:autoSpaceDE/>
        <w:autoSpaceDN/>
        <w:bidi w:val="0"/>
        <w:adjustRightInd/>
        <w:spacing w:line="560" w:lineRule="exact"/>
        <w:ind w:firstLineChars="0"/>
        <w:textAlignment w:val="auto"/>
        <w:rPr>
          <w:rFonts w:ascii="宋体" w:hAnsi="宋体" w:eastAsia="宋体"/>
          <w:b/>
          <w:bCs/>
          <w:sz w:val="28"/>
          <w:szCs w:val="28"/>
        </w:rPr>
      </w:pPr>
      <w:r>
        <w:rPr>
          <w:rFonts w:hint="eastAsia" w:ascii="宋体" w:hAnsi="宋体" w:eastAsia="宋体"/>
          <w:b/>
          <w:bCs/>
          <w:sz w:val="28"/>
          <w:szCs w:val="28"/>
        </w:rPr>
        <w:t>指导思想</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以习近平新时代中国特色社会主义思想为指导，深入贯彻落实党的十九大精神和党的教育方针，全面落实全国教育大会和新时代全国高等学校本科教育工作会议精神，落实立德树人的根本任务，以学院“十四五”规划文件为指导，遵循“明确任务目标、着力内涵建设”的基本思路，以双一流建设为龙头，以质量提升为核心，以改革创新为动力，以人才培养为出发点和落脚点，紧密依托办学双方，统筹校内外优质教育资源，完善协同育人机制；落实教书育人根本任务，深化教育管理机制改革，建立健全人才培养质量长效保障机制；对标工程教育认证标准，构筑以学生发展为中心，德智体美劳“五育并举”的高水平应用型人才培养体系，为建设特色鲜明的高水平应用型大学打下坚实的基础。</w:t>
      </w:r>
    </w:p>
    <w:p>
      <w:pPr>
        <w:pStyle w:val="28"/>
        <w:pageBreakBefore w:val="0"/>
        <w:widowControl w:val="0"/>
        <w:numPr>
          <w:ilvl w:val="0"/>
          <w:numId w:val="1"/>
        </w:numPr>
        <w:kinsoku/>
        <w:wordWrap/>
        <w:overflowPunct/>
        <w:topLinePunct w:val="0"/>
        <w:autoSpaceDE/>
        <w:autoSpaceDN/>
        <w:bidi w:val="0"/>
        <w:adjustRightInd/>
        <w:spacing w:line="560" w:lineRule="exact"/>
        <w:ind w:firstLineChars="0"/>
        <w:textAlignment w:val="auto"/>
        <w:rPr>
          <w:rFonts w:ascii="宋体" w:hAnsi="宋体" w:eastAsia="宋体"/>
          <w:b/>
          <w:bCs/>
          <w:sz w:val="28"/>
          <w:szCs w:val="28"/>
        </w:rPr>
      </w:pPr>
      <w:r>
        <w:rPr>
          <w:rFonts w:hint="eastAsia" w:ascii="宋体" w:hAnsi="宋体" w:eastAsia="宋体"/>
          <w:b/>
          <w:bCs/>
          <w:sz w:val="28"/>
          <w:szCs w:val="28"/>
        </w:rPr>
        <w:t>建设目标</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围绕“培养什么样的人”“怎么培养人”“为谁培养人”的根本问题，确立人才培养目标。坚持走以质量提升为核心的内涵式发展道路，深化人才培养改革。坚持人才培养的中心地位，围绕学院转设评估，结合一流专业建设，课程思政建设，双师型教师培养、工程应用型教育改革等重点工作，引导各个二级教学单位加强内涵建设，推进人才培养模式改革，提升教育教学水平和师资队伍质量，到2</w:t>
      </w:r>
      <w:r>
        <w:rPr>
          <w:rFonts w:ascii="宋体" w:hAnsi="宋体" w:eastAsia="宋体"/>
          <w:sz w:val="24"/>
          <w:szCs w:val="24"/>
        </w:rPr>
        <w:t>024</w:t>
      </w:r>
      <w:r>
        <w:rPr>
          <w:rFonts w:hint="eastAsia" w:ascii="宋体" w:hAnsi="宋体" w:eastAsia="宋体"/>
          <w:sz w:val="24"/>
          <w:szCs w:val="24"/>
        </w:rPr>
        <w:t>年，实现教育教学资源相对丰富、教学质量保障有效、人才培养质量稳中有升、学生自我学习能力、就业竞争能力、职业可持续发展能力稳步提升的建设目标。</w:t>
      </w:r>
    </w:p>
    <w:p>
      <w:pPr>
        <w:pStyle w:val="28"/>
        <w:pageBreakBefore w:val="0"/>
        <w:widowControl w:val="0"/>
        <w:numPr>
          <w:ilvl w:val="0"/>
          <w:numId w:val="1"/>
        </w:numPr>
        <w:kinsoku/>
        <w:wordWrap/>
        <w:overflowPunct/>
        <w:topLinePunct w:val="0"/>
        <w:autoSpaceDE/>
        <w:autoSpaceDN/>
        <w:bidi w:val="0"/>
        <w:adjustRightInd/>
        <w:spacing w:line="560" w:lineRule="exact"/>
        <w:ind w:firstLineChars="0"/>
        <w:textAlignment w:val="auto"/>
        <w:rPr>
          <w:rFonts w:ascii="宋体" w:hAnsi="宋体" w:eastAsia="宋体"/>
          <w:b/>
          <w:bCs/>
          <w:sz w:val="28"/>
          <w:szCs w:val="28"/>
        </w:rPr>
      </w:pPr>
      <w:r>
        <w:rPr>
          <w:rFonts w:hint="eastAsia" w:ascii="宋体" w:hAnsi="宋体" w:eastAsia="宋体"/>
          <w:b/>
          <w:bCs/>
          <w:sz w:val="28"/>
          <w:szCs w:val="28"/>
        </w:rPr>
        <w:t xml:space="preserve">实施方案 </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以学院转设评估为契机，按照十四五规划总体要求，以提高教育教学质量为核心，以主动适应国家、区域经济社会发展、京津冀协同发展为目标，优化专业结构布局和人才培养模式，着力培养具有健全人格、健康体魄、较高人文素养和科学素质，有创新精神和较强实践能力的高素质应用型人才，提高对经济社会服务能力。到</w:t>
      </w:r>
      <w:r>
        <w:rPr>
          <w:rFonts w:ascii="宋体" w:hAnsi="宋体" w:eastAsia="宋体"/>
          <w:sz w:val="24"/>
          <w:szCs w:val="24"/>
        </w:rPr>
        <w:t>2024年完成以下</w:t>
      </w:r>
      <w:r>
        <w:rPr>
          <w:rFonts w:hint="eastAsia" w:ascii="宋体" w:hAnsi="宋体" w:eastAsia="宋体"/>
          <w:sz w:val="24"/>
          <w:szCs w:val="24"/>
        </w:rPr>
        <w:t>几个方面的</w:t>
      </w:r>
      <w:r>
        <w:rPr>
          <w:rFonts w:ascii="宋体" w:hAnsi="宋体" w:eastAsia="宋体"/>
          <w:sz w:val="24"/>
          <w:szCs w:val="24"/>
        </w:rPr>
        <w:t>本科人才培养质量提升计划</w:t>
      </w:r>
      <w:r>
        <w:rPr>
          <w:rFonts w:hint="eastAsia" w:ascii="宋体" w:hAnsi="宋体" w:eastAsia="宋体"/>
          <w:sz w:val="24"/>
          <w:szCs w:val="24"/>
        </w:rPr>
        <w:t>。</w:t>
      </w:r>
    </w:p>
    <w:p>
      <w:pPr>
        <w:pageBreakBefore w:val="0"/>
        <w:widowControl w:val="0"/>
        <w:numPr>
          <w:ilvl w:val="0"/>
          <w:numId w:val="2"/>
        </w:numPr>
        <w:kinsoku/>
        <w:wordWrap/>
        <w:overflowPunct/>
        <w:topLinePunct w:val="0"/>
        <w:autoSpaceDE/>
        <w:autoSpaceDN/>
        <w:bidi w:val="0"/>
        <w:adjustRightInd/>
        <w:spacing w:line="560" w:lineRule="exact"/>
        <w:ind w:left="480"/>
        <w:textAlignment w:val="auto"/>
        <w:rPr>
          <w:rFonts w:ascii="宋体" w:hAnsi="宋体" w:eastAsia="宋体"/>
          <w:b/>
          <w:bCs/>
          <w:sz w:val="24"/>
          <w:szCs w:val="24"/>
        </w:rPr>
      </w:pPr>
      <w:r>
        <w:rPr>
          <w:rFonts w:hint="eastAsia" w:ascii="宋体" w:hAnsi="宋体" w:eastAsia="宋体"/>
          <w:b/>
          <w:bCs/>
          <w:sz w:val="24"/>
          <w:szCs w:val="24"/>
        </w:rPr>
        <w:t>推进</w:t>
      </w:r>
      <w:r>
        <w:rPr>
          <w:rFonts w:ascii="宋体" w:hAnsi="宋体" w:eastAsia="宋体"/>
          <w:b/>
          <w:bCs/>
          <w:sz w:val="24"/>
          <w:szCs w:val="24"/>
        </w:rPr>
        <w:t>人才培养</w:t>
      </w:r>
      <w:r>
        <w:rPr>
          <w:rFonts w:hint="eastAsia" w:ascii="宋体" w:hAnsi="宋体" w:eastAsia="宋体"/>
          <w:b/>
          <w:bCs/>
          <w:sz w:val="24"/>
          <w:szCs w:val="24"/>
        </w:rPr>
        <w:t>质量提升计划</w:t>
      </w:r>
    </w:p>
    <w:p>
      <w:pPr>
        <w:pageBreakBefore w:val="0"/>
        <w:widowControl w:val="0"/>
        <w:kinsoku/>
        <w:wordWrap/>
        <w:overflowPunct/>
        <w:topLinePunct w:val="0"/>
        <w:autoSpaceDE/>
        <w:autoSpaceDN/>
        <w:bidi w:val="0"/>
        <w:adjustRightInd/>
        <w:spacing w:line="560" w:lineRule="exact"/>
        <w:ind w:firstLine="482" w:firstLineChars="200"/>
        <w:textAlignment w:val="auto"/>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.推进人才培养方案扎实</w:t>
      </w:r>
      <w:r>
        <w:rPr>
          <w:rFonts w:ascii="宋体" w:hAnsi="宋体" w:eastAsia="宋体"/>
          <w:b/>
          <w:bCs/>
          <w:sz w:val="24"/>
          <w:szCs w:val="24"/>
        </w:rPr>
        <w:t>落实</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以立德树人为基础，持续做好三全育人工作。坚持德育为先，智育为重，推动体育、美育、劳育全面发展的育人方针,</w:t>
      </w:r>
      <w:r>
        <w:rPr>
          <w:rFonts w:ascii="宋体" w:hAnsi="宋体" w:eastAsia="宋体"/>
          <w:sz w:val="24"/>
          <w:szCs w:val="24"/>
        </w:rPr>
        <w:t>准确定位专业人才培养目标</w:t>
      </w:r>
      <w:r>
        <w:rPr>
          <w:rFonts w:hint="eastAsia" w:ascii="宋体" w:hAnsi="宋体" w:eastAsia="宋体"/>
          <w:sz w:val="24"/>
          <w:szCs w:val="24"/>
        </w:rPr>
        <w:t>。组织专业人才培养目标论证，以服务国家及区域社会经济建设为目标，立足于数字科技相关行业技术，准确定位专业培养目标，凸显专业特色，持续以C</w:t>
      </w:r>
      <w:r>
        <w:rPr>
          <w:rFonts w:ascii="宋体" w:hAnsi="宋体" w:eastAsia="宋体"/>
          <w:sz w:val="24"/>
          <w:szCs w:val="24"/>
        </w:rPr>
        <w:t>DIO</w:t>
      </w:r>
      <w:r>
        <w:rPr>
          <w:rFonts w:hint="eastAsia" w:ascii="宋体" w:hAnsi="宋体" w:eastAsia="宋体"/>
          <w:sz w:val="24"/>
          <w:szCs w:val="24"/>
        </w:rPr>
        <w:t>工程教育理念和工程认证标准强化课程对人才培养目标的支撑。</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ascii="宋体" w:hAnsi="宋体" w:eastAsia="宋体"/>
          <w:sz w:val="24"/>
          <w:szCs w:val="24"/>
        </w:rPr>
        <w:t>深化落实2022版人才培养方案改革措施</w:t>
      </w:r>
      <w:r>
        <w:rPr>
          <w:rFonts w:hint="eastAsia" w:ascii="宋体" w:hAnsi="宋体" w:eastAsia="宋体"/>
          <w:sz w:val="24"/>
          <w:szCs w:val="24"/>
        </w:rPr>
        <w:t>。紧扣人才教育教学理念，强化五育并举。</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从培养模式、课程体系、教学方法、实践教学、创新创业、考核评价、管理制度等方面扎实推进人才培养方案改革计划。进一步推进在专业教育中融入德育、美育和劳动教育，强化大</w:t>
      </w:r>
      <w:r>
        <w:rPr>
          <w:rFonts w:hint="eastAsia" w:ascii="宋体" w:hAnsi="宋体" w:eastAsia="宋体"/>
          <w:sz w:val="24"/>
        </w:rPr>
        <w:t>体育教育，确保将五育并举落至实处。</w:t>
      </w:r>
      <w:r>
        <w:rPr>
          <w:rFonts w:hint="eastAsia" w:ascii="宋体" w:hAnsi="宋体" w:eastAsia="宋体"/>
          <w:sz w:val="24"/>
          <w:szCs w:val="24"/>
        </w:rPr>
        <w:t>通过教学创新，培养学生身心健康、较高人文和科学素养，并有效进行素质拓展。需重点做好以下四个方面：</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ascii="宋体" w:hAnsi="宋体" w:eastAsia="宋体"/>
          <w:sz w:val="24"/>
          <w:szCs w:val="24"/>
        </w:rPr>
        <w:t>(1)以“线下线上通识课程+世纪讲坛”加强学生人文素养、科学素养和技术前沿教育。</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ascii="宋体" w:hAnsi="宋体" w:eastAsia="宋体"/>
          <w:sz w:val="24"/>
          <w:szCs w:val="24"/>
        </w:rPr>
        <w:t>(2)以“学科基础与专业接轨”打通基础与专业衔接障碍。</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ascii="宋体" w:hAnsi="宋体" w:eastAsia="宋体"/>
          <w:sz w:val="24"/>
          <w:szCs w:val="24"/>
        </w:rPr>
        <w:t>(3)以“专业核心课程”构建专业框架，夯实专业基础。</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ascii="宋体" w:hAnsi="宋体" w:eastAsia="宋体"/>
          <w:sz w:val="24"/>
          <w:szCs w:val="24"/>
        </w:rPr>
        <w:t>(4)以“小班上课、混合式课程、学业评价综合改革”等改革为抓手，改</w:t>
      </w:r>
      <w:r>
        <w:rPr>
          <w:rFonts w:hint="eastAsia" w:ascii="宋体" w:hAnsi="宋体" w:eastAsia="宋体"/>
          <w:sz w:val="24"/>
          <w:szCs w:val="24"/>
        </w:rPr>
        <w:t>进</w:t>
      </w:r>
      <w:r>
        <w:rPr>
          <w:rFonts w:ascii="宋体" w:hAnsi="宋体" w:eastAsia="宋体"/>
          <w:sz w:val="24"/>
          <w:szCs w:val="24"/>
        </w:rPr>
        <w:t>教学方法、完善教学评价体系，实现以学生为中心、以学习为中心，知识和能力并重，注重个性发展，培养学生</w:t>
      </w:r>
      <w:r>
        <w:rPr>
          <w:rFonts w:hint="eastAsia" w:ascii="宋体" w:hAnsi="宋体" w:eastAsia="宋体"/>
          <w:sz w:val="24"/>
          <w:szCs w:val="24"/>
        </w:rPr>
        <w:t>的</w:t>
      </w:r>
      <w:r>
        <w:rPr>
          <w:rFonts w:ascii="宋体" w:hAnsi="宋体" w:eastAsia="宋体"/>
          <w:sz w:val="24"/>
          <w:szCs w:val="24"/>
        </w:rPr>
        <w:t>创新和可持续发展能力。</w:t>
      </w:r>
    </w:p>
    <w:p>
      <w:pPr>
        <w:pageBreakBefore w:val="0"/>
        <w:widowControl w:val="0"/>
        <w:kinsoku/>
        <w:wordWrap/>
        <w:overflowPunct/>
        <w:topLinePunct w:val="0"/>
        <w:autoSpaceDE/>
        <w:autoSpaceDN/>
        <w:bidi w:val="0"/>
        <w:adjustRightInd/>
        <w:spacing w:line="560" w:lineRule="exact"/>
        <w:ind w:firstLine="482" w:firstLineChars="200"/>
        <w:textAlignment w:val="auto"/>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.持续推进多元化人才培养模式改革</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持续推进优秀学生北京邮电大学访学计划，分析往届访学学生的经验与问题，为访学学生做好课程衔接咨询和学分互认工作，为优秀学生提供学业提升通道。</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ascii="宋体" w:hAnsi="宋体" w:eastAsia="宋体"/>
          <w:sz w:val="24"/>
          <w:szCs w:val="24"/>
        </w:rPr>
        <w:t>积极扩展中外合作办学</w:t>
      </w:r>
      <w:r>
        <w:rPr>
          <w:rFonts w:hint="eastAsia" w:ascii="宋体" w:hAnsi="宋体" w:eastAsia="宋体"/>
          <w:sz w:val="24"/>
          <w:szCs w:val="24"/>
        </w:rPr>
        <w:t>与交流，探索多种形式的人才培养合作模式。</w:t>
      </w:r>
      <w:r>
        <w:rPr>
          <w:rFonts w:ascii="宋体" w:hAnsi="宋体" w:eastAsia="宋体"/>
          <w:sz w:val="24"/>
          <w:szCs w:val="24"/>
        </w:rPr>
        <w:t>继续深入开展中</w:t>
      </w:r>
      <w:r>
        <w:rPr>
          <w:rFonts w:hint="eastAsia" w:ascii="宋体" w:hAnsi="宋体" w:eastAsia="宋体"/>
          <w:sz w:val="24"/>
          <w:szCs w:val="24"/>
        </w:rPr>
        <w:t>日</w:t>
      </w:r>
      <w:r>
        <w:rPr>
          <w:rFonts w:ascii="宋体" w:hAnsi="宋体" w:eastAsia="宋体"/>
          <w:sz w:val="24"/>
          <w:szCs w:val="24"/>
        </w:rPr>
        <w:t>合作</w:t>
      </w:r>
      <w:r>
        <w:rPr>
          <w:rFonts w:hint="eastAsia" w:ascii="宋体" w:hAnsi="宋体" w:eastAsia="宋体"/>
          <w:sz w:val="24"/>
          <w:szCs w:val="24"/>
        </w:rPr>
        <w:t>软件工程</w:t>
      </w:r>
      <w:r>
        <w:rPr>
          <w:rFonts w:ascii="宋体" w:hAnsi="宋体" w:eastAsia="宋体"/>
          <w:sz w:val="24"/>
          <w:szCs w:val="24"/>
        </w:rPr>
        <w:t>人才培养</w:t>
      </w:r>
      <w:r>
        <w:rPr>
          <w:rFonts w:hint="eastAsia" w:ascii="宋体" w:hAnsi="宋体" w:eastAsia="宋体"/>
          <w:sz w:val="24"/>
          <w:szCs w:val="24"/>
        </w:rPr>
        <w:t>，不断优化合作课程</w:t>
      </w:r>
      <w:r>
        <w:rPr>
          <w:rFonts w:ascii="宋体" w:hAnsi="宋体" w:eastAsia="宋体"/>
          <w:sz w:val="24"/>
          <w:szCs w:val="24"/>
        </w:rPr>
        <w:t>，培养具有国际化视野的</w:t>
      </w:r>
      <w:r>
        <w:rPr>
          <w:rFonts w:hint="eastAsia" w:ascii="宋体" w:hAnsi="宋体" w:eastAsia="宋体"/>
          <w:sz w:val="24"/>
          <w:szCs w:val="24"/>
        </w:rPr>
        <w:t>应用型</w:t>
      </w:r>
      <w:r>
        <w:rPr>
          <w:rFonts w:ascii="宋体" w:hAnsi="宋体" w:eastAsia="宋体"/>
          <w:sz w:val="24"/>
          <w:szCs w:val="24"/>
        </w:rPr>
        <w:t>工程人才。在现有基础上再增加1-3个中外合作</w:t>
      </w:r>
      <w:r>
        <w:rPr>
          <w:rFonts w:hint="eastAsia" w:ascii="宋体" w:hAnsi="宋体" w:eastAsia="宋体"/>
          <w:sz w:val="24"/>
          <w:szCs w:val="24"/>
        </w:rPr>
        <w:t>院校，互派访学学生和教师</w:t>
      </w:r>
      <w:r>
        <w:rPr>
          <w:rFonts w:ascii="宋体" w:hAnsi="宋体" w:eastAsia="宋体"/>
          <w:sz w:val="24"/>
          <w:szCs w:val="24"/>
        </w:rPr>
        <w:t xml:space="preserve">。 </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b/>
          <w:bCs/>
          <w:sz w:val="24"/>
          <w:szCs w:val="24"/>
        </w:rPr>
      </w:pPr>
      <w:r>
        <w:rPr>
          <w:rFonts w:hint="eastAsia" w:ascii="宋体" w:hAnsi="宋体" w:eastAsia="宋体"/>
          <w:sz w:val="24"/>
          <w:szCs w:val="24"/>
        </w:rPr>
        <w:t>积极探索多种</w:t>
      </w:r>
      <w:r>
        <w:rPr>
          <w:rFonts w:ascii="宋体" w:hAnsi="宋体" w:eastAsia="宋体"/>
          <w:sz w:val="24"/>
          <w:szCs w:val="24"/>
        </w:rPr>
        <w:t>学分互认模式。充分利用校外教育资源，选派学生外出学习，承认学习学分。一是与国外高校和国内高水平大学加强交流，实现学分互认；二是加强校企合作，在企业的实践锻炼可替代部分课程学分</w:t>
      </w:r>
      <w:r>
        <w:rPr>
          <w:rFonts w:hint="eastAsia" w:ascii="宋体" w:hAnsi="宋体" w:eastAsia="宋体"/>
          <w:sz w:val="24"/>
          <w:szCs w:val="24"/>
        </w:rPr>
        <w:t>；三是学科竞赛与相关课程的学分互认。</w:t>
      </w:r>
      <w:r>
        <w:rPr>
          <w:rFonts w:ascii="宋体" w:hAnsi="宋体" w:eastAsia="宋体"/>
          <w:sz w:val="24"/>
          <w:szCs w:val="24"/>
        </w:rPr>
        <w:t>建立成熟的学分互认模式管理机制，制定实施办法。</w:t>
      </w:r>
    </w:p>
    <w:p>
      <w:pPr>
        <w:pageBreakBefore w:val="0"/>
        <w:widowControl w:val="0"/>
        <w:kinsoku/>
        <w:wordWrap/>
        <w:overflowPunct/>
        <w:topLinePunct w:val="0"/>
        <w:autoSpaceDE/>
        <w:autoSpaceDN/>
        <w:bidi w:val="0"/>
        <w:adjustRightInd/>
        <w:spacing w:line="560" w:lineRule="exact"/>
        <w:ind w:firstLine="482" w:firstLineChars="200"/>
        <w:textAlignment w:val="auto"/>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.实施优质课堂建设计划，强化教学改革实践</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hint="eastAsia" w:ascii="宋体" w:hAnsi="宋体" w:eastAsia="宋体"/>
          <w:sz w:val="24"/>
          <w:szCs w:val="24"/>
        </w:rPr>
        <w:t>以教学“新基建”为引领，从专业建设，课程改革，教材建设及信息技术革新四个方面，全面开展教学改革研究工作。以教学研究项目引领教师转变课堂教学理念，开展探究式教学改革创新，实施启发式、讨论式、项目式、案例式、参与式和“大班上课、小班讨论”等符合学科特点和学习规律的教学模式，注重学生参与的互动教学，让学生体验创新创造的乐趣，提高学生学习参与度，训练学生的科学创新思维和方法，鼓励学生自主、合作、探究式学习，加强学生独立思考能力、批判性思维和创新意识的培养。</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color w:val="auto"/>
          <w:sz w:val="24"/>
          <w:szCs w:val="24"/>
          <w:highlight w:val="none"/>
        </w:rPr>
      </w:pPr>
      <w:r>
        <w:rPr>
          <w:rFonts w:hint="eastAsia" w:ascii="宋体" w:hAnsi="宋体" w:eastAsia="宋体"/>
          <w:sz w:val="24"/>
          <w:szCs w:val="24"/>
        </w:rPr>
        <w:t>建设一批以自主学习和高度参与为特点的优质课堂，三年内打造</w:t>
      </w:r>
      <w:r>
        <w:rPr>
          <w:rFonts w:ascii="宋体" w:hAnsi="宋体" w:eastAsia="宋体"/>
          <w:sz w:val="24"/>
          <w:szCs w:val="24"/>
        </w:rPr>
        <w:t>20门以上优质课堂</w:t>
      </w:r>
      <w:r>
        <w:rPr>
          <w:rFonts w:hint="eastAsia" w:ascii="宋体" w:hAnsi="宋体" w:eastAsia="宋体"/>
          <w:sz w:val="24"/>
          <w:szCs w:val="24"/>
        </w:rPr>
        <w:t>。</w:t>
      </w:r>
      <w:r>
        <w:rPr>
          <w:rFonts w:ascii="宋体" w:hAnsi="宋体" w:eastAsia="宋体"/>
          <w:sz w:val="24"/>
          <w:szCs w:val="24"/>
        </w:rPr>
        <w:t>进一步挖掘课程特色，提升课堂水平，激发学生的学习积极性，提高课堂</w:t>
      </w:r>
      <w:r>
        <w:rPr>
          <w:rFonts w:ascii="宋体" w:hAnsi="宋体" w:eastAsia="宋体"/>
          <w:color w:val="auto"/>
          <w:sz w:val="24"/>
          <w:szCs w:val="24"/>
        </w:rPr>
        <w:t>教学</w:t>
      </w:r>
      <w:r>
        <w:rPr>
          <w:rFonts w:ascii="宋体" w:hAnsi="宋体" w:eastAsia="宋体"/>
          <w:color w:val="auto"/>
          <w:sz w:val="24"/>
          <w:szCs w:val="24"/>
          <w:highlight w:val="none"/>
        </w:rPr>
        <w:t>效果。</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hint="eastAsia" w:ascii="宋体" w:hAnsi="宋体" w:eastAsia="宋体"/>
          <w:color w:val="auto"/>
          <w:sz w:val="24"/>
          <w:szCs w:val="24"/>
          <w:highlight w:val="none"/>
        </w:rPr>
        <w:t>全面</w:t>
      </w:r>
      <w:r>
        <w:rPr>
          <w:rFonts w:hint="eastAsia" w:ascii="宋体" w:hAnsi="宋体" w:eastAsia="宋体"/>
          <w:color w:val="auto"/>
          <w:sz w:val="24"/>
          <w:szCs w:val="24"/>
        </w:rPr>
        <w:t>推</w:t>
      </w:r>
      <w:r>
        <w:rPr>
          <w:rFonts w:hint="eastAsia" w:ascii="宋体" w:hAnsi="宋体" w:eastAsia="宋体"/>
          <w:sz w:val="24"/>
          <w:szCs w:val="24"/>
        </w:rPr>
        <w:t>进课程思政项目建设工作。加强思想政治工作，优化课程思政内容供给，深入推进习近平新时代中国特色社会主义思想进教材进课堂。鼓励教师在教学实践中发现改革点，挖掘和充实各类课程的德育内涵，重点打造课程思政融合课程，在课堂教学互动中寻求创新处。有计划、有步骤地持续推进课程思政建设，将课程思政建设工作做实做全，逐渐实现所有课程的思政建设工作。重点建设一到两门课程思政示范项目，强化示范引领和资源共享。</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hint="eastAsia" w:ascii="宋体" w:hAnsi="宋体" w:eastAsia="宋体"/>
          <w:sz w:val="24"/>
          <w:szCs w:val="24"/>
        </w:rPr>
        <w:t>以院级教学改革项目为基础，以解决教学实际问题为导向，在实践中探索创新，总结改革成果和经验，丰富教学改革内容，积极参与市级教学改革项目，用教学中发现的问题为研究点，形成教改项目，以教改项目成果反哺并促进教学，用教学实践检验并推广教改成果。</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ascii="宋体" w:hAnsi="宋体" w:eastAsia="宋体"/>
          <w:sz w:val="24"/>
          <w:szCs w:val="24"/>
        </w:rPr>
        <w:t>加强课程过程考核，</w:t>
      </w:r>
      <w:r>
        <w:rPr>
          <w:rFonts w:hint="eastAsia" w:ascii="宋体" w:hAnsi="宋体" w:eastAsia="宋体"/>
          <w:sz w:val="24"/>
          <w:szCs w:val="24"/>
        </w:rPr>
        <w:t>制订考试改革实施方案，遵循课程特点，改革学生学业评价方式，实现教学过程与考核紧密衔接。每个专业选择部分核心课程改革考试形式，实现知识、能力、素质的综合评价，从考试方法、考试内容、考试形式、考试时长等方面进行综合改革，将形成性评价与终结性评价相结合，综合评价学生学习效果。在</w:t>
      </w:r>
      <w:r>
        <w:rPr>
          <w:rFonts w:ascii="宋体" w:hAnsi="宋体" w:eastAsia="宋体"/>
          <w:sz w:val="24"/>
          <w:szCs w:val="24"/>
        </w:rPr>
        <w:t>2022年度内初步完成全部改革课程的考试方案论证工作，并逐步实施，三年内</w:t>
      </w:r>
      <w:r>
        <w:rPr>
          <w:rFonts w:hint="eastAsia" w:ascii="宋体" w:hAnsi="宋体" w:eastAsia="宋体"/>
          <w:sz w:val="24"/>
          <w:szCs w:val="24"/>
        </w:rPr>
        <w:t>完成</w:t>
      </w:r>
      <w:r>
        <w:rPr>
          <w:rFonts w:ascii="宋体" w:hAnsi="宋体" w:eastAsia="宋体"/>
          <w:sz w:val="24"/>
          <w:szCs w:val="24"/>
        </w:rPr>
        <w:t>与培养目标相匹配的基础课程与专业核心课程的考试改革。</w:t>
      </w:r>
    </w:p>
    <w:p>
      <w:pPr>
        <w:pageBreakBefore w:val="0"/>
        <w:widowControl w:val="0"/>
        <w:kinsoku/>
        <w:wordWrap/>
        <w:overflowPunct/>
        <w:topLinePunct w:val="0"/>
        <w:autoSpaceDE/>
        <w:autoSpaceDN/>
        <w:bidi w:val="0"/>
        <w:adjustRightInd/>
        <w:spacing w:line="560" w:lineRule="exact"/>
        <w:ind w:firstLine="482" w:firstLineChars="200"/>
        <w:textAlignment w:val="auto"/>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w:t>
      </w:r>
      <w:r>
        <w:rPr>
          <w:rFonts w:ascii="宋体" w:hAnsi="宋体" w:eastAsia="宋体"/>
          <w:b/>
          <w:bCs/>
          <w:sz w:val="24"/>
          <w:szCs w:val="24"/>
        </w:rPr>
        <w:t>推动实践创新改革</w:t>
      </w:r>
      <w:r>
        <w:rPr>
          <w:rFonts w:hint="eastAsia" w:ascii="宋体" w:hAnsi="宋体" w:eastAsia="宋体"/>
          <w:b/>
          <w:bCs/>
          <w:sz w:val="24"/>
          <w:szCs w:val="24"/>
        </w:rPr>
        <w:t>，优化实践育人体系</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设计并实施创新创业课程体系。针对创新创业知识、能力和素质的培养要求，整体设计实施创新创业教学体系，将创新创业教育和专业教育相融合。</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hint="eastAsia" w:ascii="宋体" w:hAnsi="宋体" w:eastAsia="宋体"/>
          <w:sz w:val="24"/>
          <w:szCs w:val="24"/>
        </w:rPr>
        <w:t>不断丰富课程资源。引进与建设创新创业优质网络资源课程，开设以研究方法、创新创业基础、创新创业指导和经营管理为主体的创新创业教育课程；修订教案规范与要求，将创新创业元素融入到课程中。两年内通过修订完善专业课程教学大纲，挖掘和充实各类专业课程的创新创业教育资源，把创新创业教育的目标和理念融入课程的教学目标、教学内容和教学方法中。加大教学改革项目资助力度，设置教改专项，引导教师将学科前沿理论知识、不同学术观点、最新研究成果和创新实践经验融入课堂教学。</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hint="eastAsia" w:ascii="宋体" w:hAnsi="宋体" w:eastAsia="宋体"/>
          <w:sz w:val="24"/>
          <w:szCs w:val="24"/>
        </w:rPr>
        <w:t>鼓励学生参与教师的科研活动，进行创新发明专利的申报，参加大学生创新实践训练计划项目，发表论文，自主创业，取得职业资格认证以及其他各类社会实践活动等，不断拓展创新创业实践的范畴。</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hint="eastAsia" w:ascii="宋体" w:hAnsi="宋体" w:eastAsia="宋体"/>
          <w:sz w:val="24"/>
          <w:szCs w:val="24"/>
        </w:rPr>
        <w:t>推进专业实验课程中实验项目建设。完成专业实验课程的教学大纲修订工作，更新实验教学内容。通过融入创新创业教育要素，增加应用型、综合型、设计型、研究型、创新型实验项目，逐步形成“课外</w:t>
      </w:r>
      <w:r>
        <w:rPr>
          <w:rFonts w:ascii="宋体" w:hAnsi="宋体" w:eastAsia="宋体"/>
          <w:sz w:val="24"/>
          <w:szCs w:val="24"/>
        </w:rPr>
        <w:t>+课内”“主导+主动”“验证+探究”的创新创业实验教学模式。</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ascii="宋体" w:hAnsi="宋体" w:eastAsia="宋体"/>
          <w:sz w:val="24"/>
          <w:szCs w:val="24"/>
        </w:rPr>
        <w:t>(2)完善并进一步推进协同育人。继续坚持校企合作育人、合作培养、合作就业、合作发展的建设思路，在现有校企合作的基础上，进一步深化校企合作机制，加强日常互动</w:t>
      </w:r>
      <w:r>
        <w:rPr>
          <w:rFonts w:hint="eastAsia" w:ascii="宋体" w:hAnsi="宋体" w:eastAsia="宋体"/>
          <w:sz w:val="24"/>
          <w:szCs w:val="24"/>
        </w:rPr>
        <w:t>与</w:t>
      </w:r>
      <w:r>
        <w:rPr>
          <w:rFonts w:ascii="宋体" w:hAnsi="宋体" w:eastAsia="宋体"/>
          <w:sz w:val="24"/>
          <w:szCs w:val="24"/>
        </w:rPr>
        <w:t>交流，继续将教师实践、学生毕业设计和实习就业等教学环节落到实处，并建立反馈机制，探索“产、学、研、用”相结合的教育模式。</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完善实践管理体系。完善实习实训管理、实践教学基地建设、优秀实践教学基地评选等管理办法。加强校外实习实训管理，将创新创业的元素融入到认知实习、生产实习、毕业实习、顶岗实习中。建立与企业实时沟通机制，定期组织各专业教师与企业或现场专家，结合人才培养质量论证专业培养方案，根据企业用人需要适时调整专业设置、教学计划和教育教学内容，适应企业生产需要。严把毕业设计（论文）质量。制订管理机制，严抓毕业设计（论文）质量，加强选题、中期、答辩等过程管理，力争实现毕业论文查重检测全覆盖，提高匿名评审抽查比例。</w:t>
      </w:r>
    </w:p>
    <w:p>
      <w:pPr>
        <w:pageBreakBefore w:val="0"/>
        <w:widowControl w:val="0"/>
        <w:kinsoku/>
        <w:wordWrap/>
        <w:overflowPunct/>
        <w:topLinePunct w:val="0"/>
        <w:autoSpaceDE/>
        <w:autoSpaceDN/>
        <w:bidi w:val="0"/>
        <w:adjustRightInd/>
        <w:spacing w:line="560" w:lineRule="exact"/>
        <w:ind w:left="480"/>
        <w:textAlignment w:val="auto"/>
        <w:rPr>
          <w:rFonts w:ascii="宋体" w:hAnsi="宋体" w:eastAsia="宋体"/>
          <w:b/>
          <w:bCs/>
          <w:sz w:val="24"/>
          <w:szCs w:val="24"/>
        </w:rPr>
      </w:pPr>
      <w:r>
        <w:rPr>
          <w:rFonts w:hint="eastAsia" w:ascii="宋体" w:hAnsi="宋体" w:eastAsia="宋体"/>
          <w:b/>
          <w:bCs/>
          <w:sz w:val="24"/>
          <w:szCs w:val="24"/>
        </w:rPr>
        <w:t>(二）实施学生发展支持计划</w:t>
      </w:r>
    </w:p>
    <w:p>
      <w:pPr>
        <w:pageBreakBefore w:val="0"/>
        <w:widowControl w:val="0"/>
        <w:kinsoku/>
        <w:wordWrap/>
        <w:overflowPunct/>
        <w:topLinePunct w:val="0"/>
        <w:autoSpaceDE/>
        <w:autoSpaceDN/>
        <w:bidi w:val="0"/>
        <w:adjustRightInd/>
        <w:spacing w:line="560" w:lineRule="exact"/>
        <w:ind w:firstLine="482" w:firstLineChars="200"/>
        <w:textAlignment w:val="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改革学籍管理制度</w:t>
      </w:r>
    </w:p>
    <w:p>
      <w:pPr>
        <w:pageBreakBefore w:val="0"/>
        <w:widowControl w:val="0"/>
        <w:kinsoku/>
        <w:wordWrap/>
        <w:overflowPunct/>
        <w:topLinePunct w:val="0"/>
        <w:autoSpaceDE/>
        <w:autoSpaceDN/>
        <w:bidi w:val="0"/>
        <w:adjustRightInd/>
        <w:spacing w:line="560" w:lineRule="exact"/>
        <w:ind w:firstLine="424" w:firstLineChars="177"/>
        <w:textAlignment w:val="auto"/>
        <w:rPr>
          <w:rFonts w:ascii="宋体" w:hAnsi="宋体" w:eastAsia="宋体"/>
          <w:sz w:val="24"/>
          <w:szCs w:val="24"/>
        </w:rPr>
      </w:pPr>
      <w:r>
        <w:rPr>
          <w:rFonts w:hint="eastAsia" w:ascii="宋体" w:hAnsi="宋体" w:eastAsia="宋体"/>
          <w:sz w:val="24"/>
          <w:szCs w:val="24"/>
        </w:rPr>
        <w:t>保障所有在校生的学业修读需求，合理安排课程的重修；探索逐步放开转系转专业的条件，</w:t>
      </w:r>
      <w:r>
        <w:rPr>
          <w:rFonts w:ascii="宋体" w:hAnsi="宋体" w:eastAsia="宋体"/>
          <w:sz w:val="24"/>
          <w:szCs w:val="24"/>
        </w:rPr>
        <w:t>优先支持参与创新创业的学生转入相关专业学习；学生创新成果可以抵认相关课程学分；学生创新创业计划项目可以替代毕业</w:t>
      </w:r>
      <w:r>
        <w:rPr>
          <w:rFonts w:hint="eastAsia" w:ascii="宋体" w:hAnsi="宋体" w:eastAsia="宋体"/>
          <w:sz w:val="24"/>
          <w:szCs w:val="24"/>
        </w:rPr>
        <w:t>设计（论文）</w:t>
      </w:r>
      <w:r>
        <w:rPr>
          <w:rFonts w:ascii="宋体" w:hAnsi="宋体" w:eastAsia="宋体"/>
          <w:sz w:val="24"/>
          <w:szCs w:val="24"/>
        </w:rPr>
        <w:t>；符合条件的学生可允许其休学创业并适当放宽修业年限；对于</w:t>
      </w:r>
      <w:r>
        <w:rPr>
          <w:rFonts w:hint="eastAsia" w:ascii="宋体" w:hAnsi="宋体" w:eastAsia="宋体"/>
          <w:sz w:val="24"/>
          <w:szCs w:val="24"/>
        </w:rPr>
        <w:t>有</w:t>
      </w:r>
      <w:r>
        <w:rPr>
          <w:rFonts w:ascii="宋体" w:hAnsi="宋体" w:eastAsia="宋体"/>
          <w:sz w:val="24"/>
          <w:szCs w:val="24"/>
        </w:rPr>
        <w:t>创新创业训练实践需要</w:t>
      </w:r>
      <w:r>
        <w:rPr>
          <w:rFonts w:hint="eastAsia" w:ascii="宋体" w:hAnsi="宋体" w:eastAsia="宋体"/>
          <w:sz w:val="24"/>
          <w:szCs w:val="24"/>
        </w:rPr>
        <w:t>的</w:t>
      </w:r>
      <w:r>
        <w:rPr>
          <w:rFonts w:ascii="宋体" w:hAnsi="宋体" w:eastAsia="宋体"/>
          <w:sz w:val="24"/>
          <w:szCs w:val="24"/>
        </w:rPr>
        <w:t>，可以给予课程缓考。</w:t>
      </w:r>
    </w:p>
    <w:p>
      <w:pPr>
        <w:pageBreakBefore w:val="0"/>
        <w:widowControl w:val="0"/>
        <w:kinsoku/>
        <w:wordWrap/>
        <w:overflowPunct/>
        <w:topLinePunct w:val="0"/>
        <w:autoSpaceDE/>
        <w:autoSpaceDN/>
        <w:bidi w:val="0"/>
        <w:adjustRightInd/>
        <w:spacing w:line="560" w:lineRule="exact"/>
        <w:ind w:firstLine="482" w:firstLineChars="200"/>
        <w:textAlignment w:val="auto"/>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ab/>
      </w:r>
      <w:r>
        <w:rPr>
          <w:rFonts w:ascii="宋体" w:hAnsi="宋体" w:eastAsia="宋体"/>
          <w:b/>
          <w:bCs/>
          <w:sz w:val="24"/>
          <w:szCs w:val="24"/>
        </w:rPr>
        <w:t>健全学生学业引导机制</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进一步加强导学导师制度，加大对低年级学生学业、学风的引导。指导学生明确学习目标，做好学业规划，优化学习进度，提高学习能力。进一步落实好学业预警帮扶和柔性退出机制，以学生发展为本，在课程学习、创新训练、职业规划和心理帮扶等方面给予全方位、个性化指导，全面保障学生健康发展。加强课堂管理，提高课堂讲授效率，严格执行学生请假制度保证出勤率，杜绝懒学怠学现象。</w:t>
      </w:r>
    </w:p>
    <w:p>
      <w:pPr>
        <w:pageBreakBefore w:val="0"/>
        <w:widowControl w:val="0"/>
        <w:kinsoku/>
        <w:wordWrap/>
        <w:overflowPunct/>
        <w:topLinePunct w:val="0"/>
        <w:autoSpaceDE/>
        <w:autoSpaceDN/>
        <w:bidi w:val="0"/>
        <w:adjustRightInd/>
        <w:spacing w:line="560" w:lineRule="exact"/>
        <w:ind w:firstLine="482" w:firstLineChars="200"/>
        <w:textAlignment w:val="auto"/>
        <w:rPr>
          <w:rFonts w:ascii="宋体" w:hAnsi="宋体" w:eastAsia="宋体"/>
          <w:b/>
          <w:bCs/>
          <w:sz w:val="24"/>
          <w:szCs w:val="24"/>
        </w:rPr>
      </w:pPr>
      <w:r>
        <w:rPr>
          <w:rFonts w:hint="eastAsia" w:ascii="宋体" w:hAnsi="宋体" w:eastAsia="宋体"/>
          <w:b/>
          <w:bCs/>
          <w:sz w:val="24"/>
          <w:szCs w:val="24"/>
        </w:rPr>
        <w:t>3.推进</w:t>
      </w:r>
      <w:r>
        <w:rPr>
          <w:rFonts w:ascii="宋体" w:hAnsi="宋体" w:eastAsia="宋体"/>
          <w:b/>
          <w:bCs/>
          <w:sz w:val="24"/>
          <w:szCs w:val="24"/>
        </w:rPr>
        <w:t>学生学业评价综合改革</w:t>
      </w:r>
    </w:p>
    <w:p>
      <w:pPr>
        <w:pageBreakBefore w:val="0"/>
        <w:widowControl w:val="0"/>
        <w:kinsoku/>
        <w:wordWrap/>
        <w:overflowPunct/>
        <w:topLinePunct w:val="0"/>
        <w:autoSpaceDE/>
        <w:autoSpaceDN/>
        <w:bidi w:val="0"/>
        <w:adjustRightInd/>
        <w:spacing w:line="560" w:lineRule="exact"/>
        <w:ind w:firstLine="480" w:firstLineChars="200"/>
        <w:textAlignment w:val="auto"/>
        <w:rPr>
          <w:rFonts w:ascii="宋体" w:hAnsi="宋体" w:eastAsia="宋体"/>
          <w:sz w:val="24"/>
          <w:szCs w:val="24"/>
        </w:rPr>
      </w:pPr>
      <w:r>
        <w:rPr>
          <w:rFonts w:hint="eastAsia" w:ascii="宋体" w:hAnsi="宋体" w:eastAsia="宋体"/>
          <w:sz w:val="24"/>
          <w:szCs w:val="24"/>
        </w:rPr>
        <w:t>通过知识、能力、素质的综合评价，实施考试综合改革，构建与人才培养目标相匹配的评价体系，提升人才培养质量。</w:t>
      </w:r>
      <w:r>
        <w:rPr>
          <w:rFonts w:ascii="宋体" w:hAnsi="宋体" w:eastAsia="宋体"/>
          <w:sz w:val="24"/>
          <w:szCs w:val="24"/>
        </w:rPr>
        <w:t>严抓学业评价，规范学业评价管理环节</w:t>
      </w:r>
      <w:r>
        <w:rPr>
          <w:rFonts w:hint="eastAsia" w:ascii="宋体" w:hAnsi="宋体" w:eastAsia="宋体"/>
          <w:sz w:val="24"/>
          <w:szCs w:val="24"/>
        </w:rPr>
        <w:t>。严格考风考纪、阶段考试、考勤作业、补考和阅卷等常规环节管理；进一步加强试卷规范管理，改进命题组卷、阅卷评分、试卷分析及存档管理等工作环节，制定并实施试卷质量标准，提高教学水平和人才培养质量。全面加强对毕业设计（论文）选题、开题、答辩等环节的全过程管理。按照学院关于毕业设计（论文）工作管理的有关规定要求，从形式、内容、难度等各方面进行严格把控，引导二级教学单位根据自身专业特点，制订毕业设计（论文）质量监控的相关文件，切实提高毕业设计（论文）质量。</w:t>
      </w:r>
    </w:p>
    <w:p>
      <w:pPr>
        <w:pageBreakBefore w:val="0"/>
        <w:widowControl w:val="0"/>
        <w:kinsoku/>
        <w:wordWrap/>
        <w:overflowPunct/>
        <w:topLinePunct w:val="0"/>
        <w:autoSpaceDE/>
        <w:autoSpaceDN/>
        <w:bidi w:val="0"/>
        <w:adjustRightInd/>
        <w:spacing w:line="560" w:lineRule="exact"/>
        <w:ind w:left="480"/>
        <w:textAlignment w:val="auto"/>
        <w:rPr>
          <w:rFonts w:ascii="宋体" w:hAnsi="宋体" w:eastAsia="宋体"/>
          <w:b/>
          <w:bCs/>
          <w:sz w:val="24"/>
          <w:szCs w:val="24"/>
        </w:rPr>
      </w:pPr>
      <w:r>
        <w:rPr>
          <w:rFonts w:hint="eastAsia" w:ascii="宋体" w:hAnsi="宋体" w:eastAsia="宋体"/>
          <w:b/>
          <w:bCs/>
          <w:sz w:val="24"/>
          <w:szCs w:val="24"/>
        </w:rPr>
        <w:t>（三）实施教师教学能力提升计划</w:t>
      </w:r>
    </w:p>
    <w:p>
      <w:pPr>
        <w:pStyle w:val="6"/>
        <w:pageBreakBefore w:val="0"/>
        <w:widowControl w:val="0"/>
        <w:numPr>
          <w:ilvl w:val="255"/>
          <w:numId w:val="0"/>
        </w:numPr>
        <w:kinsoku/>
        <w:wordWrap/>
        <w:overflowPunct/>
        <w:topLinePunct w:val="0"/>
        <w:autoSpaceDE/>
        <w:autoSpaceDN/>
        <w:bidi w:val="0"/>
        <w:adjustRightInd/>
        <w:spacing w:line="560" w:lineRule="exact"/>
        <w:ind w:firstLine="482" w:firstLineChars="200"/>
        <w:textAlignment w:val="auto"/>
        <w:rPr>
          <w:rFonts w:cstheme="minorEastAsia"/>
          <w:sz w:val="24"/>
          <w:szCs w:val="24"/>
          <w:lang w:val="en-US"/>
        </w:rPr>
      </w:pPr>
      <w:r>
        <w:rPr>
          <w:rFonts w:hint="eastAsia" w:cstheme="minorEastAsia"/>
          <w:b/>
          <w:bCs/>
          <w:sz w:val="24"/>
          <w:szCs w:val="24"/>
          <w:lang w:val="en-US"/>
        </w:rPr>
        <w:t>1.发挥基础教学组织的作用</w:t>
      </w:r>
    </w:p>
    <w:p>
      <w:pPr>
        <w:pStyle w:val="6"/>
        <w:pageBreakBefore w:val="0"/>
        <w:widowControl w:val="0"/>
        <w:kinsoku/>
        <w:wordWrap/>
        <w:overflowPunct/>
        <w:topLinePunct w:val="0"/>
        <w:autoSpaceDE/>
        <w:autoSpaceDN/>
        <w:bidi w:val="0"/>
        <w:adjustRightInd/>
        <w:spacing w:line="560" w:lineRule="exact"/>
        <w:ind w:left="0" w:firstLine="566" w:firstLineChars="236"/>
        <w:textAlignment w:val="auto"/>
        <w:rPr>
          <w:rFonts w:cstheme="minorEastAsia"/>
          <w:sz w:val="24"/>
          <w:szCs w:val="24"/>
          <w:lang w:val="en-US"/>
        </w:rPr>
      </w:pPr>
      <w:r>
        <w:rPr>
          <w:rFonts w:hint="eastAsia" w:cstheme="minorEastAsia"/>
          <w:sz w:val="24"/>
          <w:szCs w:val="24"/>
          <w:lang w:val="en-US"/>
        </w:rPr>
        <w:t>鼓励教学改革与研究工作由教学团队完成。开展院级优秀教学团队，优秀教研室的评选工作，树典型，立标杆。优化教学团队结构，吸收企业中的工程师，高级技工等进入教学团队，充实教师队伍力量。利用信息技术，推进虚拟教研室建设，为教学研讨提供更多途径。</w:t>
      </w:r>
    </w:p>
    <w:p>
      <w:pPr>
        <w:pStyle w:val="6"/>
        <w:pageBreakBefore w:val="0"/>
        <w:widowControl w:val="0"/>
        <w:numPr>
          <w:ilvl w:val="255"/>
          <w:numId w:val="0"/>
        </w:numPr>
        <w:kinsoku/>
        <w:wordWrap/>
        <w:overflowPunct/>
        <w:topLinePunct w:val="0"/>
        <w:autoSpaceDE/>
        <w:autoSpaceDN/>
        <w:bidi w:val="0"/>
        <w:adjustRightInd/>
        <w:spacing w:line="560" w:lineRule="exact"/>
        <w:ind w:firstLine="482" w:firstLineChars="200"/>
        <w:textAlignment w:val="auto"/>
        <w:rPr>
          <w:rFonts w:cstheme="minorEastAsia"/>
          <w:sz w:val="24"/>
          <w:szCs w:val="24"/>
          <w:lang w:val="en-US"/>
        </w:rPr>
      </w:pPr>
      <w:r>
        <w:rPr>
          <w:rFonts w:hint="eastAsia" w:cstheme="minorEastAsia"/>
          <w:b/>
          <w:bCs/>
          <w:sz w:val="24"/>
          <w:szCs w:val="24"/>
          <w:lang w:val="en-US"/>
        </w:rPr>
        <w:t>2.强化教师教学培训，不断提高教师教学水平</w:t>
      </w:r>
    </w:p>
    <w:p>
      <w:pPr>
        <w:pStyle w:val="6"/>
        <w:pageBreakBefore w:val="0"/>
        <w:widowControl w:val="0"/>
        <w:kinsoku/>
        <w:wordWrap/>
        <w:overflowPunct/>
        <w:topLinePunct w:val="0"/>
        <w:autoSpaceDE/>
        <w:autoSpaceDN/>
        <w:bidi w:val="0"/>
        <w:adjustRightInd/>
        <w:spacing w:line="560" w:lineRule="exact"/>
        <w:ind w:left="0" w:firstLine="566" w:firstLineChars="236"/>
        <w:textAlignment w:val="auto"/>
        <w:rPr>
          <w:rFonts w:cstheme="minorEastAsia"/>
          <w:sz w:val="24"/>
          <w:szCs w:val="24"/>
          <w:lang w:val="en-US"/>
        </w:rPr>
      </w:pPr>
      <w:r>
        <w:rPr>
          <w:rFonts w:hint="eastAsia" w:cstheme="minorEastAsia"/>
          <w:sz w:val="24"/>
          <w:szCs w:val="24"/>
          <w:lang w:val="en-US"/>
        </w:rPr>
        <w:t>大力开展教师教学竞赛，以赛促教，重点引导青年教师参与到竞赛中来，磨练教学基本功，站好三尺讲台。支持青年教师参与教学技能培训，鼓励老教师、获奖教师多开公开课，示范课，以老带新，提升新教师教学能力。发挥优秀教师的传帮带作用，形成良性竞争氛围和争先创优态势，让教师争做教书育人的楷模。</w:t>
      </w:r>
    </w:p>
    <w:p>
      <w:pPr>
        <w:pStyle w:val="6"/>
        <w:pageBreakBefore w:val="0"/>
        <w:widowControl w:val="0"/>
        <w:numPr>
          <w:ilvl w:val="255"/>
          <w:numId w:val="0"/>
        </w:numPr>
        <w:kinsoku/>
        <w:wordWrap/>
        <w:overflowPunct/>
        <w:topLinePunct w:val="0"/>
        <w:autoSpaceDE/>
        <w:autoSpaceDN/>
        <w:bidi w:val="0"/>
        <w:adjustRightInd/>
        <w:spacing w:line="560" w:lineRule="exact"/>
        <w:ind w:firstLine="482" w:firstLineChars="200"/>
        <w:textAlignment w:val="auto"/>
        <w:rPr>
          <w:rFonts w:cstheme="minorEastAsia"/>
          <w:sz w:val="24"/>
          <w:szCs w:val="24"/>
          <w:lang w:val="en-US"/>
        </w:rPr>
      </w:pPr>
      <w:r>
        <w:rPr>
          <w:rFonts w:hint="eastAsia" w:cstheme="minorEastAsia"/>
          <w:b/>
          <w:bCs/>
          <w:sz w:val="24"/>
          <w:szCs w:val="24"/>
          <w:lang w:val="en-US"/>
        </w:rPr>
        <w:t>3.健全教师评价激励机制</w:t>
      </w:r>
    </w:p>
    <w:p>
      <w:pPr>
        <w:pStyle w:val="6"/>
        <w:pageBreakBefore w:val="0"/>
        <w:widowControl w:val="0"/>
        <w:kinsoku/>
        <w:wordWrap/>
        <w:overflowPunct/>
        <w:topLinePunct w:val="0"/>
        <w:autoSpaceDE/>
        <w:autoSpaceDN/>
        <w:bidi w:val="0"/>
        <w:adjustRightInd/>
        <w:spacing w:line="560" w:lineRule="exact"/>
        <w:ind w:left="0" w:firstLine="566" w:firstLineChars="236"/>
        <w:textAlignment w:val="auto"/>
        <w:rPr>
          <w:rFonts w:cstheme="minorEastAsia"/>
          <w:sz w:val="24"/>
          <w:szCs w:val="24"/>
          <w:lang w:val="en-US"/>
        </w:rPr>
      </w:pPr>
      <w:r>
        <w:rPr>
          <w:rFonts w:hint="eastAsia" w:cstheme="minorEastAsia"/>
          <w:sz w:val="24"/>
          <w:szCs w:val="24"/>
          <w:lang w:val="en-US"/>
        </w:rPr>
        <w:t>持续强化师德师风建设，实行“一票否决”制。进一步完善教师评价体系，将课堂教学、专业建设、课程改革、教材课件编制、指导学生创新实践、开展教学改革创新建设等，全部纳入教师考核的指标体系中，并权衡各项比例。合理分配学生评教，督导评价，教师互评等的各项比重，进一步优化教师评价体系。</w:t>
      </w:r>
    </w:p>
    <w:p>
      <w:pPr>
        <w:pageBreakBefore w:val="0"/>
        <w:widowControl w:val="0"/>
        <w:kinsoku/>
        <w:wordWrap/>
        <w:overflowPunct/>
        <w:topLinePunct w:val="0"/>
        <w:autoSpaceDE/>
        <w:autoSpaceDN/>
        <w:bidi w:val="0"/>
        <w:adjustRightInd/>
        <w:spacing w:line="560" w:lineRule="exact"/>
        <w:ind w:left="480"/>
        <w:textAlignment w:val="auto"/>
        <w:rPr>
          <w:rFonts w:ascii="宋体" w:hAnsi="宋体" w:eastAsia="宋体"/>
          <w:b/>
          <w:bCs/>
          <w:sz w:val="24"/>
          <w:szCs w:val="24"/>
        </w:rPr>
      </w:pPr>
      <w:r>
        <w:rPr>
          <w:rFonts w:hint="eastAsia" w:ascii="宋体" w:hAnsi="宋体" w:eastAsia="宋体"/>
          <w:b/>
          <w:bCs/>
          <w:sz w:val="24"/>
          <w:szCs w:val="24"/>
        </w:rPr>
        <w:t>（四）实施质量保障体系建设计划</w:t>
      </w:r>
    </w:p>
    <w:p>
      <w:pPr>
        <w:pStyle w:val="6"/>
        <w:pageBreakBefore w:val="0"/>
        <w:widowControl w:val="0"/>
        <w:kinsoku/>
        <w:wordWrap/>
        <w:overflowPunct/>
        <w:topLinePunct w:val="0"/>
        <w:autoSpaceDE/>
        <w:autoSpaceDN/>
        <w:bidi w:val="0"/>
        <w:adjustRightInd/>
        <w:spacing w:line="560" w:lineRule="exact"/>
        <w:ind w:left="0" w:firstLine="482" w:firstLineChars="200"/>
        <w:textAlignment w:val="auto"/>
        <w:rPr>
          <w:rFonts w:cstheme="minorEastAsia"/>
          <w:b/>
          <w:bCs/>
          <w:sz w:val="24"/>
          <w:szCs w:val="24"/>
          <w:lang w:val="en-US"/>
        </w:rPr>
      </w:pPr>
      <w:r>
        <w:rPr>
          <w:rFonts w:hint="eastAsia" w:cstheme="minorEastAsia"/>
          <w:b/>
          <w:bCs/>
          <w:sz w:val="24"/>
          <w:szCs w:val="24"/>
          <w:lang w:val="en-US"/>
        </w:rPr>
        <w:t>1.构建持续改进的质量保障机制</w:t>
      </w:r>
    </w:p>
    <w:p>
      <w:pPr>
        <w:pStyle w:val="6"/>
        <w:pageBreakBefore w:val="0"/>
        <w:widowControl w:val="0"/>
        <w:kinsoku/>
        <w:wordWrap/>
        <w:overflowPunct/>
        <w:topLinePunct w:val="0"/>
        <w:autoSpaceDE/>
        <w:autoSpaceDN/>
        <w:bidi w:val="0"/>
        <w:adjustRightInd/>
        <w:spacing w:line="560" w:lineRule="exact"/>
        <w:ind w:left="0" w:firstLine="480" w:firstLineChars="200"/>
        <w:textAlignment w:val="auto"/>
        <w:rPr>
          <w:rFonts w:cstheme="minorEastAsia"/>
          <w:sz w:val="24"/>
          <w:szCs w:val="24"/>
          <w:lang w:val="en-US"/>
        </w:rPr>
      </w:pPr>
      <w:r>
        <w:rPr>
          <w:rFonts w:hint="eastAsia" w:cstheme="minorEastAsia"/>
          <w:sz w:val="24"/>
          <w:szCs w:val="24"/>
          <w:lang w:val="en-US"/>
        </w:rPr>
        <w:t>全面落实《深化新时代教育评价改革总体方案》，从课堂教学、教材质量、试卷分析、课程考核质量、实践教学质量、毕业设计（论文）质量多个方面，形成全方位、全覆盖的教学质量监控体系。做好教学信息的收集与反馈，并做好反馈后的跟进工作，保障教学质量稳步提升。</w:t>
      </w:r>
    </w:p>
    <w:p>
      <w:pPr>
        <w:pStyle w:val="6"/>
        <w:pageBreakBefore w:val="0"/>
        <w:widowControl w:val="0"/>
        <w:kinsoku/>
        <w:wordWrap/>
        <w:overflowPunct/>
        <w:topLinePunct w:val="0"/>
        <w:autoSpaceDE/>
        <w:autoSpaceDN/>
        <w:bidi w:val="0"/>
        <w:adjustRightInd/>
        <w:spacing w:line="560" w:lineRule="exact"/>
        <w:ind w:left="0" w:firstLine="480" w:firstLineChars="200"/>
        <w:textAlignment w:val="auto"/>
        <w:rPr>
          <w:rFonts w:cstheme="minorEastAsia"/>
          <w:sz w:val="24"/>
          <w:szCs w:val="24"/>
          <w:lang w:val="en-US"/>
        </w:rPr>
      </w:pPr>
      <w:r>
        <w:rPr>
          <w:rFonts w:hint="eastAsia" w:cstheme="minorEastAsia"/>
          <w:sz w:val="24"/>
          <w:szCs w:val="24"/>
          <w:lang w:val="en-US"/>
        </w:rPr>
        <w:t>完善质量提升全过程的各项规章制度，夯实质量提升的保障基础。重视学生学习过程，推进实施学习效果评估，注重用人单位对人才培养质量的评价反馈，完成从教学过程评估、信息反馈到教学改进的闭环系统。不断加强院系（部）两级教学质量保障体系建设，压实二级教学单位教学管理的主体责任。</w:t>
      </w:r>
    </w:p>
    <w:p>
      <w:pPr>
        <w:pStyle w:val="6"/>
        <w:pageBreakBefore w:val="0"/>
        <w:widowControl w:val="0"/>
        <w:kinsoku/>
        <w:wordWrap/>
        <w:overflowPunct/>
        <w:topLinePunct w:val="0"/>
        <w:autoSpaceDE/>
        <w:autoSpaceDN/>
        <w:bidi w:val="0"/>
        <w:adjustRightInd/>
        <w:spacing w:line="560" w:lineRule="exact"/>
        <w:ind w:left="0" w:firstLine="482" w:firstLineChars="200"/>
        <w:textAlignment w:val="auto"/>
        <w:rPr>
          <w:b/>
          <w:bCs/>
          <w:sz w:val="24"/>
          <w:szCs w:val="24"/>
        </w:rPr>
      </w:pPr>
      <w:r>
        <w:rPr>
          <w:rFonts w:hint="eastAsia"/>
          <w:b/>
          <w:bCs/>
          <w:sz w:val="24"/>
          <w:szCs w:val="24"/>
          <w:lang w:val="en-US"/>
        </w:rPr>
        <w:t>2.</w:t>
      </w:r>
      <w:r>
        <w:rPr>
          <w:rFonts w:hint="eastAsia"/>
          <w:b/>
          <w:bCs/>
          <w:sz w:val="24"/>
          <w:szCs w:val="24"/>
        </w:rPr>
        <w:t>进一步加强教材选用与管理</w:t>
      </w:r>
    </w:p>
    <w:p>
      <w:pPr>
        <w:pStyle w:val="6"/>
        <w:pageBreakBefore w:val="0"/>
        <w:widowControl w:val="0"/>
        <w:kinsoku/>
        <w:wordWrap/>
        <w:overflowPunct/>
        <w:topLinePunct w:val="0"/>
        <w:autoSpaceDE/>
        <w:autoSpaceDN/>
        <w:bidi w:val="0"/>
        <w:adjustRightInd/>
        <w:spacing w:line="560" w:lineRule="exact"/>
        <w:ind w:left="0" w:firstLine="480" w:firstLineChars="200"/>
        <w:textAlignment w:val="auto"/>
        <w:rPr>
          <w:rFonts w:cstheme="minorEastAsia"/>
          <w:sz w:val="24"/>
          <w:szCs w:val="24"/>
          <w:lang w:val="en-US"/>
        </w:rPr>
      </w:pPr>
      <w:r>
        <w:rPr>
          <w:rFonts w:hint="eastAsia" w:cstheme="minorEastAsia"/>
          <w:sz w:val="24"/>
          <w:szCs w:val="24"/>
          <w:lang w:val="en-US"/>
        </w:rPr>
        <w:t>依据《北京邮电大学世纪学院教材管理办法》（院发〔</w:t>
      </w:r>
      <w:r>
        <w:rPr>
          <w:rFonts w:cstheme="minorEastAsia"/>
          <w:sz w:val="24"/>
          <w:szCs w:val="24"/>
          <w:lang w:val="en-US"/>
        </w:rPr>
        <w:t>202</w:t>
      </w:r>
      <w:r>
        <w:rPr>
          <w:rFonts w:hint="eastAsia" w:cstheme="minorEastAsia"/>
          <w:sz w:val="24"/>
          <w:szCs w:val="24"/>
          <w:lang w:val="en-US"/>
        </w:rPr>
        <w:t>1〕2</w:t>
      </w:r>
      <w:r>
        <w:rPr>
          <w:rFonts w:cstheme="minorEastAsia"/>
          <w:sz w:val="24"/>
          <w:szCs w:val="24"/>
          <w:lang w:val="en-US"/>
        </w:rPr>
        <w:t>9</w:t>
      </w:r>
      <w:r>
        <w:rPr>
          <w:rFonts w:hint="eastAsia" w:cstheme="minorEastAsia"/>
          <w:sz w:val="24"/>
          <w:szCs w:val="24"/>
          <w:lang w:val="en-US"/>
        </w:rPr>
        <w:t>号）文件要求，不断完善学院教材选用与管理工作，按照凡选必审，质量第一，适宜教学，统一要求，相对稳定的原则，严格教材选用程序，加强教材管理，并做好教材质量评价与监督。</w:t>
      </w:r>
    </w:p>
    <w:p>
      <w:pPr>
        <w:pStyle w:val="6"/>
        <w:pageBreakBefore w:val="0"/>
        <w:widowControl w:val="0"/>
        <w:kinsoku/>
        <w:wordWrap/>
        <w:overflowPunct/>
        <w:topLinePunct w:val="0"/>
        <w:autoSpaceDE/>
        <w:autoSpaceDN/>
        <w:bidi w:val="0"/>
        <w:adjustRightInd/>
        <w:spacing w:line="560" w:lineRule="exact"/>
        <w:ind w:left="0" w:firstLine="482" w:firstLineChars="200"/>
        <w:textAlignment w:val="auto"/>
        <w:rPr>
          <w:b/>
          <w:bCs/>
          <w:sz w:val="24"/>
          <w:szCs w:val="24"/>
        </w:rPr>
      </w:pPr>
      <w:r>
        <w:rPr>
          <w:rFonts w:hint="eastAsia"/>
          <w:b/>
          <w:bCs/>
          <w:sz w:val="24"/>
          <w:szCs w:val="24"/>
          <w:lang w:val="en-US"/>
        </w:rPr>
        <w:t>3.</w:t>
      </w:r>
      <w:r>
        <w:rPr>
          <w:rFonts w:hint="eastAsia"/>
          <w:b/>
          <w:bCs/>
          <w:sz w:val="24"/>
          <w:szCs w:val="24"/>
        </w:rPr>
        <w:t>建设智慧优化的育人生态环境</w:t>
      </w:r>
    </w:p>
    <w:p>
      <w:pPr>
        <w:pStyle w:val="6"/>
        <w:pageBreakBefore w:val="0"/>
        <w:widowControl w:val="0"/>
        <w:kinsoku/>
        <w:wordWrap/>
        <w:overflowPunct/>
        <w:topLinePunct w:val="0"/>
        <w:autoSpaceDE/>
        <w:autoSpaceDN/>
        <w:bidi w:val="0"/>
        <w:adjustRightInd/>
        <w:spacing w:line="560" w:lineRule="exact"/>
        <w:ind w:left="0" w:firstLine="480" w:firstLineChars="200"/>
        <w:textAlignment w:val="auto"/>
        <w:rPr>
          <w:rFonts w:cstheme="minorEastAsia"/>
          <w:sz w:val="24"/>
          <w:szCs w:val="24"/>
          <w:lang w:val="en-US"/>
        </w:rPr>
      </w:pPr>
      <w:r>
        <w:rPr>
          <w:rFonts w:hint="eastAsia" w:cstheme="minorEastAsia"/>
          <w:sz w:val="24"/>
          <w:szCs w:val="24"/>
          <w:lang w:val="en-US"/>
        </w:rPr>
        <w:t>融合信息技术，建设优质课程资源。全面推进教学资源信息化建设工作。持续开展课程教学资源信息化建设，不断完善线上教学资源，形成线上课程体系。引进优质慕课资源，作为课堂教学的补充与完善，进一步丰富课堂教学内容。持续推进通识课程线上优质课程的选用工作，拓展学生知识面，通过线上资源引进大师课程进校园。</w:t>
      </w:r>
    </w:p>
    <w:p>
      <w:pPr>
        <w:pStyle w:val="6"/>
        <w:pageBreakBefore w:val="0"/>
        <w:widowControl w:val="0"/>
        <w:kinsoku/>
        <w:wordWrap/>
        <w:overflowPunct/>
        <w:topLinePunct w:val="0"/>
        <w:autoSpaceDE/>
        <w:autoSpaceDN/>
        <w:bidi w:val="0"/>
        <w:adjustRightInd/>
        <w:spacing w:line="560" w:lineRule="exact"/>
        <w:ind w:left="0" w:firstLine="480" w:firstLineChars="200"/>
        <w:textAlignment w:val="auto"/>
        <w:rPr>
          <w:rFonts w:cstheme="minorEastAsia"/>
          <w:sz w:val="24"/>
          <w:szCs w:val="24"/>
          <w:lang w:val="en-US"/>
        </w:rPr>
      </w:pPr>
      <w:r>
        <w:rPr>
          <w:rFonts w:hint="eastAsia" w:cstheme="minorEastAsia"/>
          <w:sz w:val="24"/>
          <w:szCs w:val="24"/>
          <w:lang w:val="en-US"/>
        </w:rPr>
        <w:t>建设智慧学习环境。在条件允许情况下，逐步推行专业核心课程小班授课。逐步建设适应自主学习、自主管理、自助服务需求的智慧教室，更新教务管理系统。打造基于A</w:t>
      </w:r>
      <w:r>
        <w:rPr>
          <w:rFonts w:cstheme="minorEastAsia"/>
          <w:sz w:val="24"/>
          <w:szCs w:val="24"/>
          <w:lang w:val="en-US"/>
        </w:rPr>
        <w:t>I</w:t>
      </w:r>
      <w:r>
        <w:rPr>
          <w:rFonts w:hint="eastAsia" w:cstheme="minorEastAsia"/>
          <w:sz w:val="24"/>
          <w:szCs w:val="24"/>
          <w:lang w:val="en-US"/>
        </w:rPr>
        <w:t>和虚拟现实技术的教学辅助平台，为学生主动参与学习、自主探究、合作交流提供环境支撑。</w:t>
      </w:r>
    </w:p>
    <w:p>
      <w:pPr>
        <w:pStyle w:val="6"/>
        <w:pageBreakBefore w:val="0"/>
        <w:widowControl w:val="0"/>
        <w:kinsoku/>
        <w:wordWrap/>
        <w:overflowPunct/>
        <w:topLinePunct w:val="0"/>
        <w:autoSpaceDE/>
        <w:autoSpaceDN/>
        <w:bidi w:val="0"/>
        <w:adjustRightInd/>
        <w:spacing w:line="560" w:lineRule="exact"/>
        <w:ind w:firstLine="480" w:firstLineChars="200"/>
        <w:textAlignment w:val="auto"/>
        <w:rPr>
          <w:rFonts w:cstheme="minorEastAsia"/>
          <w:sz w:val="24"/>
          <w:szCs w:val="24"/>
          <w:lang w:val="en-US"/>
        </w:rPr>
      </w:pPr>
      <w:r>
        <w:rPr>
          <w:rFonts w:hint="eastAsia" w:cstheme="minorEastAsia"/>
          <w:sz w:val="24"/>
          <w:szCs w:val="24"/>
          <w:lang w:val="en-US"/>
        </w:rPr>
        <w:t>优化资源配置机制。加大对教学工作的投入力度，完善各类“教”与“学”方面的评奖评优办法，丰富奖励类型，加大对教师教学研究成果、指导学生发表成果的奖励力度，营造相互促进的学习与成长环境。</w:t>
      </w:r>
    </w:p>
    <w:p>
      <w:pPr>
        <w:pStyle w:val="2"/>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0"/>
          <w:szCs w:val="30"/>
          <w:lang w:val="en-US" w:eastAsia="zh-CN"/>
        </w:rPr>
      </w:pPr>
    </w:p>
    <w:sectPr>
      <w:footerReference r:id="rId3" w:type="default"/>
      <w:pgSz w:w="11906" w:h="16838"/>
      <w:pgMar w:top="1440" w:right="1689" w:bottom="1327" w:left="1689"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Adobe 宋体 Std L">
    <w:altName w:val="宋体"/>
    <w:panose1 w:val="020203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jc w:val="right"/>
                </w:pPr>
                <w:r>
                  <w:fldChar w:fldCharType="begin"/>
                </w:r>
                <w:r>
                  <w:instrText xml:space="preserve"> PAGE   \* MERGEFORMAT </w:instrText>
                </w:r>
                <w:r>
                  <w:fldChar w:fldCharType="separate"/>
                </w:r>
                <w:r>
                  <w:rPr>
                    <w:lang w:val="zh-CN"/>
                  </w:rPr>
                  <w:t>-</w:t>
                </w:r>
                <w:r>
                  <w:t xml:space="preserve"> 1 -</w:t>
                </w:r>
                <w: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2F29D"/>
    <w:multiLevelType w:val="singleLevel"/>
    <w:tmpl w:val="2842F29D"/>
    <w:lvl w:ilvl="0" w:tentative="0">
      <w:start w:val="1"/>
      <w:numFmt w:val="chineseCounting"/>
      <w:suff w:val="nothing"/>
      <w:lvlText w:val="（%1）"/>
      <w:lvlJc w:val="left"/>
      <w:rPr>
        <w:rFonts w:hint="eastAsia"/>
      </w:rPr>
    </w:lvl>
  </w:abstractNum>
  <w:abstractNum w:abstractNumId="1">
    <w:nsid w:val="5E761849"/>
    <w:multiLevelType w:val="multilevel"/>
    <w:tmpl w:val="5E761849"/>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RjYzMyM2UyMGJjMzAzMGRhNmQyOGY1ODViMzBhYTcifQ=="/>
  </w:docVars>
  <w:rsids>
    <w:rsidRoot w:val="00F14FEA"/>
    <w:rsid w:val="00010EFA"/>
    <w:rsid w:val="0002150B"/>
    <w:rsid w:val="0002363E"/>
    <w:rsid w:val="00050BBB"/>
    <w:rsid w:val="00053990"/>
    <w:rsid w:val="0006649A"/>
    <w:rsid w:val="0009633A"/>
    <w:rsid w:val="000A1785"/>
    <w:rsid w:val="000A670A"/>
    <w:rsid w:val="000A70B1"/>
    <w:rsid w:val="000B09D1"/>
    <w:rsid w:val="000C3776"/>
    <w:rsid w:val="000C7686"/>
    <w:rsid w:val="000D5680"/>
    <w:rsid w:val="000F667C"/>
    <w:rsid w:val="001067E4"/>
    <w:rsid w:val="001078CD"/>
    <w:rsid w:val="001215CA"/>
    <w:rsid w:val="00125D78"/>
    <w:rsid w:val="001453A2"/>
    <w:rsid w:val="00153BB6"/>
    <w:rsid w:val="0018530C"/>
    <w:rsid w:val="00192850"/>
    <w:rsid w:val="00194039"/>
    <w:rsid w:val="00197552"/>
    <w:rsid w:val="001A5D8D"/>
    <w:rsid w:val="001E7018"/>
    <w:rsid w:val="00213AEB"/>
    <w:rsid w:val="00222D55"/>
    <w:rsid w:val="0023683F"/>
    <w:rsid w:val="002408AA"/>
    <w:rsid w:val="002529D3"/>
    <w:rsid w:val="00252FDE"/>
    <w:rsid w:val="0026021A"/>
    <w:rsid w:val="002638D9"/>
    <w:rsid w:val="00263A92"/>
    <w:rsid w:val="0027655D"/>
    <w:rsid w:val="00280577"/>
    <w:rsid w:val="00295138"/>
    <w:rsid w:val="002A0099"/>
    <w:rsid w:val="002A1923"/>
    <w:rsid w:val="002A5875"/>
    <w:rsid w:val="002C0DDA"/>
    <w:rsid w:val="002C5EA7"/>
    <w:rsid w:val="002D43F9"/>
    <w:rsid w:val="002D5B1A"/>
    <w:rsid w:val="002D5FF8"/>
    <w:rsid w:val="002E06F4"/>
    <w:rsid w:val="002E18C6"/>
    <w:rsid w:val="002E3D2E"/>
    <w:rsid w:val="002E6639"/>
    <w:rsid w:val="002F0EAA"/>
    <w:rsid w:val="002F2F00"/>
    <w:rsid w:val="0032214A"/>
    <w:rsid w:val="003441E0"/>
    <w:rsid w:val="00347EF1"/>
    <w:rsid w:val="00361CA3"/>
    <w:rsid w:val="0036318E"/>
    <w:rsid w:val="00371E22"/>
    <w:rsid w:val="00373CAD"/>
    <w:rsid w:val="00381851"/>
    <w:rsid w:val="003832FC"/>
    <w:rsid w:val="00393311"/>
    <w:rsid w:val="003975B0"/>
    <w:rsid w:val="003B01AD"/>
    <w:rsid w:val="003B0461"/>
    <w:rsid w:val="003C1EF1"/>
    <w:rsid w:val="00400B41"/>
    <w:rsid w:val="00413E34"/>
    <w:rsid w:val="00424539"/>
    <w:rsid w:val="004270C2"/>
    <w:rsid w:val="00435744"/>
    <w:rsid w:val="00442F39"/>
    <w:rsid w:val="0044579E"/>
    <w:rsid w:val="0046087E"/>
    <w:rsid w:val="004711F9"/>
    <w:rsid w:val="004724D9"/>
    <w:rsid w:val="004730AD"/>
    <w:rsid w:val="0047661B"/>
    <w:rsid w:val="00492BEB"/>
    <w:rsid w:val="00494338"/>
    <w:rsid w:val="004B04CE"/>
    <w:rsid w:val="004B1CC9"/>
    <w:rsid w:val="004B407E"/>
    <w:rsid w:val="004C411D"/>
    <w:rsid w:val="004D2484"/>
    <w:rsid w:val="004D3056"/>
    <w:rsid w:val="004D5D05"/>
    <w:rsid w:val="004D6FAA"/>
    <w:rsid w:val="004E6B54"/>
    <w:rsid w:val="004F447D"/>
    <w:rsid w:val="004F5BD6"/>
    <w:rsid w:val="00513EB9"/>
    <w:rsid w:val="005140A3"/>
    <w:rsid w:val="00534448"/>
    <w:rsid w:val="0055285D"/>
    <w:rsid w:val="00556ED6"/>
    <w:rsid w:val="005608FA"/>
    <w:rsid w:val="00560AC7"/>
    <w:rsid w:val="00570D1D"/>
    <w:rsid w:val="00580D97"/>
    <w:rsid w:val="005873E7"/>
    <w:rsid w:val="00594F2F"/>
    <w:rsid w:val="005B71A2"/>
    <w:rsid w:val="005C428C"/>
    <w:rsid w:val="005C4C21"/>
    <w:rsid w:val="005E5AA2"/>
    <w:rsid w:val="005E6C23"/>
    <w:rsid w:val="005E6EF0"/>
    <w:rsid w:val="005F3F87"/>
    <w:rsid w:val="005F46CD"/>
    <w:rsid w:val="005F4F33"/>
    <w:rsid w:val="00603810"/>
    <w:rsid w:val="00610060"/>
    <w:rsid w:val="00622E31"/>
    <w:rsid w:val="00623725"/>
    <w:rsid w:val="00625C7D"/>
    <w:rsid w:val="00644DBA"/>
    <w:rsid w:val="00645C19"/>
    <w:rsid w:val="00651605"/>
    <w:rsid w:val="006546BE"/>
    <w:rsid w:val="00655878"/>
    <w:rsid w:val="00660AD0"/>
    <w:rsid w:val="00664D4D"/>
    <w:rsid w:val="00664EFB"/>
    <w:rsid w:val="00666862"/>
    <w:rsid w:val="00666E68"/>
    <w:rsid w:val="00666F0A"/>
    <w:rsid w:val="00687B71"/>
    <w:rsid w:val="006B3317"/>
    <w:rsid w:val="006B4D0E"/>
    <w:rsid w:val="006D2781"/>
    <w:rsid w:val="006D6BD0"/>
    <w:rsid w:val="00704106"/>
    <w:rsid w:val="0070687A"/>
    <w:rsid w:val="00711994"/>
    <w:rsid w:val="00731C79"/>
    <w:rsid w:val="007351AF"/>
    <w:rsid w:val="00736FAF"/>
    <w:rsid w:val="007436AD"/>
    <w:rsid w:val="00773EB3"/>
    <w:rsid w:val="00780B0E"/>
    <w:rsid w:val="00785B49"/>
    <w:rsid w:val="007E577F"/>
    <w:rsid w:val="007F4D58"/>
    <w:rsid w:val="007F5388"/>
    <w:rsid w:val="007F71C1"/>
    <w:rsid w:val="008019F7"/>
    <w:rsid w:val="00814DA9"/>
    <w:rsid w:val="00822D5B"/>
    <w:rsid w:val="008231F2"/>
    <w:rsid w:val="0082622A"/>
    <w:rsid w:val="0082669E"/>
    <w:rsid w:val="00827944"/>
    <w:rsid w:val="0083672E"/>
    <w:rsid w:val="0084687B"/>
    <w:rsid w:val="00870868"/>
    <w:rsid w:val="00874BFD"/>
    <w:rsid w:val="00890F5F"/>
    <w:rsid w:val="00890FDD"/>
    <w:rsid w:val="00891CB0"/>
    <w:rsid w:val="00893920"/>
    <w:rsid w:val="008A128A"/>
    <w:rsid w:val="008A47E6"/>
    <w:rsid w:val="008B0000"/>
    <w:rsid w:val="008C100C"/>
    <w:rsid w:val="008C3415"/>
    <w:rsid w:val="008D1BCF"/>
    <w:rsid w:val="008E4FD6"/>
    <w:rsid w:val="008F3A57"/>
    <w:rsid w:val="008F40BC"/>
    <w:rsid w:val="00904F68"/>
    <w:rsid w:val="009151AB"/>
    <w:rsid w:val="0091572F"/>
    <w:rsid w:val="00937638"/>
    <w:rsid w:val="00945E2F"/>
    <w:rsid w:val="00946C75"/>
    <w:rsid w:val="00966F39"/>
    <w:rsid w:val="00971204"/>
    <w:rsid w:val="009802B2"/>
    <w:rsid w:val="00984C77"/>
    <w:rsid w:val="009B0312"/>
    <w:rsid w:val="009B2C54"/>
    <w:rsid w:val="009B4B01"/>
    <w:rsid w:val="009D6AA9"/>
    <w:rsid w:val="00A0226F"/>
    <w:rsid w:val="00A03470"/>
    <w:rsid w:val="00A04FD4"/>
    <w:rsid w:val="00A110DF"/>
    <w:rsid w:val="00A17086"/>
    <w:rsid w:val="00A171A2"/>
    <w:rsid w:val="00A47007"/>
    <w:rsid w:val="00A57070"/>
    <w:rsid w:val="00A57F60"/>
    <w:rsid w:val="00A64922"/>
    <w:rsid w:val="00A7663B"/>
    <w:rsid w:val="00A929EF"/>
    <w:rsid w:val="00A92A7D"/>
    <w:rsid w:val="00A93E37"/>
    <w:rsid w:val="00AA59E5"/>
    <w:rsid w:val="00AB3D50"/>
    <w:rsid w:val="00AB78F0"/>
    <w:rsid w:val="00AC0FB4"/>
    <w:rsid w:val="00AD2377"/>
    <w:rsid w:val="00AE3F99"/>
    <w:rsid w:val="00AE67DD"/>
    <w:rsid w:val="00B146AF"/>
    <w:rsid w:val="00B23686"/>
    <w:rsid w:val="00B24C78"/>
    <w:rsid w:val="00B25B91"/>
    <w:rsid w:val="00B45AF1"/>
    <w:rsid w:val="00B47C4C"/>
    <w:rsid w:val="00B670B5"/>
    <w:rsid w:val="00B755AC"/>
    <w:rsid w:val="00B75B2B"/>
    <w:rsid w:val="00B77506"/>
    <w:rsid w:val="00B863B8"/>
    <w:rsid w:val="00BB7B92"/>
    <w:rsid w:val="00BC42CE"/>
    <w:rsid w:val="00BC6C7C"/>
    <w:rsid w:val="00BD63AE"/>
    <w:rsid w:val="00BE01AA"/>
    <w:rsid w:val="00BE3737"/>
    <w:rsid w:val="00C03206"/>
    <w:rsid w:val="00C15503"/>
    <w:rsid w:val="00C17191"/>
    <w:rsid w:val="00C22B43"/>
    <w:rsid w:val="00C3327B"/>
    <w:rsid w:val="00C368F8"/>
    <w:rsid w:val="00C40A08"/>
    <w:rsid w:val="00C46EE0"/>
    <w:rsid w:val="00C66CEE"/>
    <w:rsid w:val="00C731E6"/>
    <w:rsid w:val="00C745CC"/>
    <w:rsid w:val="00C74F3F"/>
    <w:rsid w:val="00C7557F"/>
    <w:rsid w:val="00C80AF7"/>
    <w:rsid w:val="00CB2ABA"/>
    <w:rsid w:val="00CB34E3"/>
    <w:rsid w:val="00CB365A"/>
    <w:rsid w:val="00CC53CF"/>
    <w:rsid w:val="00CC71BA"/>
    <w:rsid w:val="00CD1D53"/>
    <w:rsid w:val="00CF54D6"/>
    <w:rsid w:val="00D17605"/>
    <w:rsid w:val="00D17BB2"/>
    <w:rsid w:val="00D17E8E"/>
    <w:rsid w:val="00D23843"/>
    <w:rsid w:val="00D26A58"/>
    <w:rsid w:val="00D33959"/>
    <w:rsid w:val="00D4669D"/>
    <w:rsid w:val="00D47D21"/>
    <w:rsid w:val="00D52DB1"/>
    <w:rsid w:val="00D54E75"/>
    <w:rsid w:val="00D60752"/>
    <w:rsid w:val="00D71487"/>
    <w:rsid w:val="00D73EAF"/>
    <w:rsid w:val="00D74A6D"/>
    <w:rsid w:val="00D805F8"/>
    <w:rsid w:val="00DA5D90"/>
    <w:rsid w:val="00DA61EE"/>
    <w:rsid w:val="00DB180D"/>
    <w:rsid w:val="00DB6E1D"/>
    <w:rsid w:val="00DC3786"/>
    <w:rsid w:val="00DD2CEE"/>
    <w:rsid w:val="00DD5CAE"/>
    <w:rsid w:val="00DE3CA6"/>
    <w:rsid w:val="00DE5424"/>
    <w:rsid w:val="00E14E4C"/>
    <w:rsid w:val="00E54003"/>
    <w:rsid w:val="00E54154"/>
    <w:rsid w:val="00E64091"/>
    <w:rsid w:val="00E72221"/>
    <w:rsid w:val="00E824B1"/>
    <w:rsid w:val="00E93461"/>
    <w:rsid w:val="00EC0D24"/>
    <w:rsid w:val="00EC5661"/>
    <w:rsid w:val="00ED15F7"/>
    <w:rsid w:val="00ED34BF"/>
    <w:rsid w:val="00EE2A26"/>
    <w:rsid w:val="00EF2186"/>
    <w:rsid w:val="00EF5551"/>
    <w:rsid w:val="00EF5B0B"/>
    <w:rsid w:val="00F04833"/>
    <w:rsid w:val="00F05D68"/>
    <w:rsid w:val="00F1111D"/>
    <w:rsid w:val="00F14FEA"/>
    <w:rsid w:val="00F203F0"/>
    <w:rsid w:val="00F34567"/>
    <w:rsid w:val="00F36EAA"/>
    <w:rsid w:val="00F412E7"/>
    <w:rsid w:val="00F429FD"/>
    <w:rsid w:val="00F443D5"/>
    <w:rsid w:val="00F55133"/>
    <w:rsid w:val="00F55578"/>
    <w:rsid w:val="00F61F70"/>
    <w:rsid w:val="00F63843"/>
    <w:rsid w:val="00F64AD6"/>
    <w:rsid w:val="00F67747"/>
    <w:rsid w:val="00F67B9C"/>
    <w:rsid w:val="00F722ED"/>
    <w:rsid w:val="00F72C66"/>
    <w:rsid w:val="00F9640A"/>
    <w:rsid w:val="00FA787C"/>
    <w:rsid w:val="00FB6AB0"/>
    <w:rsid w:val="00FC0209"/>
    <w:rsid w:val="00FC136F"/>
    <w:rsid w:val="00FC187B"/>
    <w:rsid w:val="00FC3326"/>
    <w:rsid w:val="00FC4308"/>
    <w:rsid w:val="00FD3174"/>
    <w:rsid w:val="013F795D"/>
    <w:rsid w:val="04DA15D3"/>
    <w:rsid w:val="0B8D642B"/>
    <w:rsid w:val="0FC01F22"/>
    <w:rsid w:val="0FE47144"/>
    <w:rsid w:val="10064757"/>
    <w:rsid w:val="1063630A"/>
    <w:rsid w:val="11DB2221"/>
    <w:rsid w:val="124D7B19"/>
    <w:rsid w:val="14B173BF"/>
    <w:rsid w:val="1ADF66D3"/>
    <w:rsid w:val="1D6B402C"/>
    <w:rsid w:val="21017E3C"/>
    <w:rsid w:val="267F5435"/>
    <w:rsid w:val="28C201BB"/>
    <w:rsid w:val="2A9A1634"/>
    <w:rsid w:val="2B444C92"/>
    <w:rsid w:val="2BEC0830"/>
    <w:rsid w:val="2C8A351A"/>
    <w:rsid w:val="343015F7"/>
    <w:rsid w:val="37BB2DB0"/>
    <w:rsid w:val="3A0B3475"/>
    <w:rsid w:val="3A342D54"/>
    <w:rsid w:val="41C35A5E"/>
    <w:rsid w:val="44AE12A8"/>
    <w:rsid w:val="44B4569E"/>
    <w:rsid w:val="451A404D"/>
    <w:rsid w:val="4863366C"/>
    <w:rsid w:val="4BAA3266"/>
    <w:rsid w:val="4E623CF1"/>
    <w:rsid w:val="4EE51EFC"/>
    <w:rsid w:val="50010670"/>
    <w:rsid w:val="50834157"/>
    <w:rsid w:val="51600FDB"/>
    <w:rsid w:val="54AE21F3"/>
    <w:rsid w:val="54C72D6F"/>
    <w:rsid w:val="61097B89"/>
    <w:rsid w:val="61406E2F"/>
    <w:rsid w:val="63B31144"/>
    <w:rsid w:val="65C043F9"/>
    <w:rsid w:val="66AE065F"/>
    <w:rsid w:val="6B350F12"/>
    <w:rsid w:val="6CC81E07"/>
    <w:rsid w:val="6CF04E4B"/>
    <w:rsid w:val="6E6F2310"/>
    <w:rsid w:val="6F610788"/>
    <w:rsid w:val="7081567B"/>
    <w:rsid w:val="732B1EB7"/>
    <w:rsid w:val="73FE079E"/>
    <w:rsid w:val="74F05C86"/>
    <w:rsid w:val="7A2935DB"/>
    <w:rsid w:val="7B081661"/>
    <w:rsid w:val="7B29409C"/>
    <w:rsid w:val="7CCA26FC"/>
    <w:rsid w:val="7DAA3A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tabs>
        <w:tab w:val="center" w:pos="4153"/>
        <w:tab w:val="right" w:pos="8306"/>
      </w:tabs>
      <w:jc w:val="center"/>
    </w:pPr>
    <w:rPr>
      <w:rFonts w:ascii="宋体" w:hAnsi="宋体"/>
      <w:sz w:val="32"/>
    </w:r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6">
    <w:name w:val="Body Text"/>
    <w:basedOn w:val="1"/>
    <w:qFormat/>
    <w:uiPriority w:val="0"/>
    <w:pPr>
      <w:ind w:left="120"/>
    </w:pPr>
    <w:rPr>
      <w:rFonts w:ascii="宋体" w:hAnsi="宋体" w:eastAsia="宋体" w:cs="宋体"/>
      <w:sz w:val="32"/>
      <w:szCs w:val="32"/>
      <w:lang w:val="zh-CN" w:eastAsia="zh-CN" w:bidi="zh-CN"/>
    </w:rPr>
  </w:style>
  <w:style w:type="paragraph" w:styleId="7">
    <w:name w:val="Body Text Indent"/>
    <w:basedOn w:val="1"/>
    <w:link w:val="26"/>
    <w:semiHidden/>
    <w:qFormat/>
    <w:uiPriority w:val="99"/>
    <w:pPr>
      <w:widowControl/>
      <w:spacing w:before="100" w:beforeAutospacing="1" w:after="100" w:afterAutospacing="1"/>
      <w:jc w:val="left"/>
    </w:pPr>
    <w:rPr>
      <w:rFonts w:ascii="宋体" w:hAnsi="宋体"/>
      <w:kern w:val="0"/>
      <w:sz w:val="24"/>
      <w:szCs w:val="24"/>
    </w:rPr>
  </w:style>
  <w:style w:type="paragraph" w:styleId="8">
    <w:name w:val="Date"/>
    <w:basedOn w:val="1"/>
    <w:next w:val="1"/>
    <w:link w:val="20"/>
    <w:semiHidden/>
    <w:qFormat/>
    <w:uiPriority w:val="99"/>
    <w:pPr>
      <w:ind w:left="100" w:leftChars="2500"/>
    </w:pPr>
  </w:style>
  <w:style w:type="paragraph" w:styleId="9">
    <w:name w:val="Balloon Text"/>
    <w:basedOn w:val="1"/>
    <w:link w:val="21"/>
    <w:semiHidden/>
    <w:qFormat/>
    <w:uiPriority w:val="99"/>
    <w:rPr>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7"/>
    <w:semiHidden/>
    <w:qFormat/>
    <w:uiPriority w:val="99"/>
    <w:pPr>
      <w:widowControl/>
      <w:spacing w:before="100" w:beforeAutospacing="1" w:after="100" w:afterAutospacing="1"/>
      <w:jc w:val="left"/>
    </w:pPr>
    <w:rPr>
      <w:rFonts w:ascii="宋体" w:hAnsi="宋体"/>
      <w:kern w:val="0"/>
      <w:sz w:val="24"/>
      <w:szCs w:val="24"/>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14">
    <w:name w:val="Title"/>
    <w:basedOn w:val="1"/>
    <w:next w:val="1"/>
    <w:link w:val="25"/>
    <w:qFormat/>
    <w:locked/>
    <w:uiPriority w:val="99"/>
    <w:pPr>
      <w:spacing w:before="240" w:after="60"/>
      <w:jc w:val="center"/>
      <w:outlineLvl w:val="0"/>
    </w:pPr>
    <w:rPr>
      <w:rFonts w:ascii="Cambria" w:hAnsi="Cambria"/>
      <w:b/>
      <w:bCs/>
      <w:sz w:val="32"/>
      <w:szCs w:val="32"/>
    </w:rPr>
  </w:style>
  <w:style w:type="character" w:styleId="17">
    <w:name w:val="Strong"/>
    <w:basedOn w:val="16"/>
    <w:qFormat/>
    <w:uiPriority w:val="99"/>
    <w:rPr>
      <w:rFonts w:cs="Times New Roman"/>
      <w:b/>
      <w:bCs/>
    </w:rPr>
  </w:style>
  <w:style w:type="character" w:styleId="18">
    <w:name w:val="Hyperlink"/>
    <w:basedOn w:val="16"/>
    <w:semiHidden/>
    <w:qFormat/>
    <w:uiPriority w:val="99"/>
    <w:rPr>
      <w:rFonts w:cs="Times New Roman"/>
      <w:color w:val="0000FF"/>
      <w:u w:val="single"/>
    </w:rPr>
  </w:style>
  <w:style w:type="character" w:customStyle="1" w:styleId="19">
    <w:name w:val="Body Text Indent Char"/>
    <w:basedOn w:val="16"/>
    <w:link w:val="7"/>
    <w:semiHidden/>
    <w:qFormat/>
    <w:locked/>
    <w:uiPriority w:val="99"/>
    <w:rPr>
      <w:rFonts w:ascii="宋体" w:hAnsi="宋体" w:eastAsia="宋体"/>
      <w:kern w:val="0"/>
      <w:sz w:val="24"/>
    </w:rPr>
  </w:style>
  <w:style w:type="character" w:customStyle="1" w:styleId="20">
    <w:name w:val="日期 Char"/>
    <w:basedOn w:val="16"/>
    <w:link w:val="8"/>
    <w:semiHidden/>
    <w:qFormat/>
    <w:locked/>
    <w:uiPriority w:val="99"/>
    <w:rPr>
      <w:rFonts w:cs="Times New Roman"/>
    </w:rPr>
  </w:style>
  <w:style w:type="character" w:customStyle="1" w:styleId="21">
    <w:name w:val="批注框文本 Char"/>
    <w:basedOn w:val="16"/>
    <w:link w:val="9"/>
    <w:semiHidden/>
    <w:qFormat/>
    <w:locked/>
    <w:uiPriority w:val="99"/>
    <w:rPr>
      <w:rFonts w:cs="Times New Roman"/>
      <w:sz w:val="18"/>
      <w:szCs w:val="18"/>
    </w:rPr>
  </w:style>
  <w:style w:type="character" w:customStyle="1" w:styleId="22">
    <w:name w:val="页脚 Char"/>
    <w:basedOn w:val="16"/>
    <w:link w:val="3"/>
    <w:qFormat/>
    <w:locked/>
    <w:uiPriority w:val="99"/>
    <w:rPr>
      <w:rFonts w:cs="Times New Roman"/>
      <w:sz w:val="18"/>
      <w:szCs w:val="18"/>
    </w:rPr>
  </w:style>
  <w:style w:type="character" w:customStyle="1" w:styleId="23">
    <w:name w:val="页眉 Char"/>
    <w:basedOn w:val="16"/>
    <w:link w:val="10"/>
    <w:semiHidden/>
    <w:qFormat/>
    <w:locked/>
    <w:uiPriority w:val="99"/>
    <w:rPr>
      <w:rFonts w:cs="Times New Roman"/>
      <w:sz w:val="18"/>
      <w:szCs w:val="18"/>
    </w:rPr>
  </w:style>
  <w:style w:type="character" w:customStyle="1" w:styleId="24">
    <w:name w:val="Body Text Indent 3 Char"/>
    <w:basedOn w:val="16"/>
    <w:link w:val="11"/>
    <w:semiHidden/>
    <w:qFormat/>
    <w:locked/>
    <w:uiPriority w:val="99"/>
    <w:rPr>
      <w:rFonts w:ascii="宋体" w:hAnsi="宋体" w:eastAsia="宋体"/>
      <w:kern w:val="0"/>
      <w:sz w:val="24"/>
    </w:rPr>
  </w:style>
  <w:style w:type="character" w:customStyle="1" w:styleId="25">
    <w:name w:val="标题 Char"/>
    <w:basedOn w:val="16"/>
    <w:link w:val="14"/>
    <w:qFormat/>
    <w:locked/>
    <w:uiPriority w:val="99"/>
    <w:rPr>
      <w:rFonts w:ascii="Cambria" w:hAnsi="Cambria" w:eastAsia="宋体" w:cs="Times New Roman"/>
      <w:b/>
      <w:bCs/>
      <w:kern w:val="2"/>
      <w:sz w:val="32"/>
      <w:szCs w:val="32"/>
      <w:lang w:val="en-US" w:eastAsia="zh-CN" w:bidi="ar-SA"/>
    </w:rPr>
  </w:style>
  <w:style w:type="character" w:customStyle="1" w:styleId="26">
    <w:name w:val="正文文本缩进 Char"/>
    <w:basedOn w:val="16"/>
    <w:link w:val="7"/>
    <w:semiHidden/>
    <w:qFormat/>
    <w:locked/>
    <w:uiPriority w:val="99"/>
    <w:rPr>
      <w:rFonts w:cs="Times New Roman"/>
    </w:rPr>
  </w:style>
  <w:style w:type="character" w:customStyle="1" w:styleId="27">
    <w:name w:val="正文文本缩进 3 Char"/>
    <w:basedOn w:val="16"/>
    <w:link w:val="11"/>
    <w:semiHidden/>
    <w:qFormat/>
    <w:locked/>
    <w:uiPriority w:val="99"/>
    <w:rPr>
      <w:rFonts w:cs="Times New Roman"/>
      <w:sz w:val="16"/>
      <w:szCs w:val="16"/>
    </w:rPr>
  </w:style>
  <w:style w:type="paragraph" w:styleId="28">
    <w:name w:val="List Paragraph"/>
    <w:basedOn w:val="1"/>
    <w:qFormat/>
    <w:uiPriority w:val="99"/>
    <w:pPr>
      <w:ind w:firstLine="420" w:firstLineChars="200"/>
    </w:pPr>
  </w:style>
  <w:style w:type="paragraph" w:customStyle="1" w:styleId="2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0">
    <w:name w:val="apple-converted-space"/>
    <w:basedOn w:val="16"/>
    <w:qFormat/>
    <w:uiPriority w:val="99"/>
    <w:rPr>
      <w:rFonts w:cs="Times New Roman"/>
    </w:rPr>
  </w:style>
  <w:style w:type="paragraph" w:customStyle="1" w:styleId="31">
    <w:name w:val="列出段落"/>
    <w:basedOn w:val="1"/>
    <w:qFormat/>
    <w:uiPriority w:val="0"/>
    <w:pPr>
      <w:ind w:firstLine="420" w:firstLineChars="200"/>
    </w:pPr>
    <w:rPr>
      <w:rFonts w:ascii="Calibri" w:hAnsi="Calibri"/>
      <w:szCs w:val="22"/>
    </w:rPr>
  </w:style>
  <w:style w:type="paragraph" w:customStyle="1" w:styleId="32">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9</Pages>
  <Words>5513</Words>
  <Characters>5589</Characters>
  <Lines>3</Lines>
  <Paragraphs>1</Paragraphs>
  <TotalTime>4</TotalTime>
  <ScaleCrop>false</ScaleCrop>
  <LinksUpToDate>false</LinksUpToDate>
  <CharactersWithSpaces>5594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2019-02-24T03:48:00Z</dcterms:created>
  <dc:creator>SkyUN.Org</dc:creator>
  <cp:lastModifiedBy>DELL</cp:lastModifiedBy>
  <cp:lastPrinted>2019-12-23T02:58:00Z</cp:lastPrinted>
  <dcterms:modified xsi:type="dcterms:W3CDTF">2023-04-25T05:57:50Z</dcterms:modified>
  <dc:title>北京邮电大学世纪学院</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3A4C94E6315B464681F46649120D7488</vt:lpwstr>
  </property>
</Properties>
</file>